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431E">
      <w:pPr>
        <w:spacing w:before="240" w:after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INCOME-TAX (THIRTIETH AMENDMENT) RULES, 2016 </w:t>
      </w:r>
      <w:r>
        <w:rPr>
          <w:rFonts w:ascii="Arial" w:eastAsia="Times New Roman" w:hAnsi="Arial" w:cs="Arial"/>
          <w:b/>
          <w:bCs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AMENDMENT IN RULES 114B &amp; 114E </w:t>
      </w:r>
    </w:p>
    <w:p w:rsidR="00000000" w:rsidRDefault="006D431E">
      <w:pPr>
        <w:spacing w:before="240" w:after="2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NOTIFICATION NO. GSR 1068(E) [NO.104/2016 (F.NO.370142/32/2016-TPL)]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b/>
          <w:bCs/>
          <w:sz w:val="22"/>
          <w:szCs w:val="22"/>
        </w:rPr>
        <w:t>DATED 15-11-2016</w:t>
      </w:r>
    </w:p>
    <w:p w:rsidR="00000000" w:rsidRDefault="006D431E">
      <w:pPr>
        <w:spacing w:before="60" w:after="60"/>
        <w:ind w:left="60" w:right="60"/>
        <w:jc w:val="both"/>
        <w:rPr>
          <w:sz w:val="24"/>
          <w:szCs w:val="24"/>
        </w:rPr>
      </w:pPr>
      <w:r>
        <w:rPr>
          <w:sz w:val="24"/>
          <w:szCs w:val="24"/>
        </w:rPr>
        <w:t>In exercise of the powers conferred by section 285B</w:t>
      </w:r>
      <w:r>
        <w:rPr>
          <w:sz w:val="24"/>
          <w:szCs w:val="24"/>
        </w:rPr>
        <w:t>A, read with section 295 of the Income-tax Act, 1961 (43 of 1961), the Central Board of Direct Taxes hereby makes the following rules further to amend the Income-tax Rules, 1962, namely:</w:t>
      </w:r>
      <w:r>
        <w:rPr>
          <w:sz w:val="24"/>
          <w:szCs w:val="24"/>
        </w:rPr>
        <w:t>—</w:t>
      </w:r>
    </w:p>
    <w:p w:rsidR="00000000" w:rsidRDefault="006D431E">
      <w:pPr>
        <w:spacing w:before="60" w:after="60"/>
        <w:ind w:left="60" w:righ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(1) These rules may be called the Income</w:t>
      </w:r>
      <w:r>
        <w:rPr>
          <w:sz w:val="24"/>
          <w:szCs w:val="24"/>
        </w:rPr>
        <w:t>–</w:t>
      </w:r>
      <w:r>
        <w:rPr>
          <w:sz w:val="24"/>
          <w:szCs w:val="24"/>
        </w:rPr>
        <w:t>tax (</w:t>
      </w:r>
      <w:r>
        <w:rPr>
          <w:b/>
          <w:bCs/>
          <w:sz w:val="24"/>
          <w:szCs w:val="24"/>
        </w:rPr>
        <w:t>30thAmendment</w:t>
      </w:r>
      <w:r>
        <w:rPr>
          <w:sz w:val="24"/>
          <w:szCs w:val="24"/>
        </w:rPr>
        <w:t>) Rule</w:t>
      </w:r>
      <w:r>
        <w:rPr>
          <w:sz w:val="24"/>
          <w:szCs w:val="24"/>
        </w:rPr>
        <w:t>s, 2016.</w:t>
      </w:r>
    </w:p>
    <w:p w:rsidR="00000000" w:rsidRDefault="006D431E">
      <w:pPr>
        <w:spacing w:before="60" w:after="60"/>
        <w:ind w:left="60" w:right="60"/>
        <w:jc w:val="both"/>
        <w:rPr>
          <w:sz w:val="24"/>
          <w:szCs w:val="24"/>
        </w:rPr>
      </w:pPr>
      <w:r>
        <w:rPr>
          <w:sz w:val="24"/>
          <w:szCs w:val="24"/>
        </w:rPr>
        <w:t>(2) They shall come into force from the date of their publication in the Official Gazette.</w:t>
      </w:r>
    </w:p>
    <w:p w:rsidR="00000000" w:rsidRDefault="006D431E">
      <w:pPr>
        <w:spacing w:before="60" w:after="60"/>
        <w:ind w:left="60" w:righ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In the Income-tax Rules, 1962 (hereinafter referred to as the said rules), in rule 114B, in the Table, for serial number10 and entries relating thereto t</w:t>
      </w:r>
      <w:r>
        <w:rPr>
          <w:sz w:val="24"/>
          <w:szCs w:val="24"/>
        </w:rPr>
        <w:t>he following serial number and entries shall be substituted, namely:</w:t>
      </w:r>
      <w:r>
        <w:rPr>
          <w:sz w:val="24"/>
          <w:szCs w:val="24"/>
        </w:rPr>
        <w:t>—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674"/>
        <w:gridCol w:w="4500"/>
        <w:gridCol w:w="4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Sl. No.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Nature of transaction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Value of transaction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(3)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 with,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"/>
              <w:gridCol w:w="275"/>
              <w:gridCol w:w="319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94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 banking company or a co-operative bank to which the Banking Regulation Act, 1949 (10 of 1949), applies (including any bank or banking institution referred to in section 51 of that Act);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94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Post Office.</w:t>
                  </w:r>
                </w:p>
              </w:tc>
            </w:tr>
          </w:tbl>
          <w:p w:rsidR="00000000" w:rsidRDefault="006D431E">
            <w:pPr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deposits,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"/>
              <w:gridCol w:w="275"/>
              <w:gridCol w:w="314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3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exceeding fifty thous</w:t>
                  </w:r>
                  <w:r>
                    <w:rPr>
                      <w:sz w:val="24"/>
                      <w:szCs w:val="24"/>
                    </w:rPr>
                    <w:t>and rupees during any one day; or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3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aggregating to more than two lakh fifty thousand rupees during the period 09th November, 2016 to 30th December, 2016.".</w:t>
                  </w:r>
                </w:p>
              </w:tc>
            </w:tr>
          </w:tbl>
          <w:p w:rsidR="00000000" w:rsidRDefault="006D431E">
            <w:pPr>
              <w:rPr>
                <w:sz w:val="24"/>
                <w:szCs w:val="24"/>
              </w:rPr>
            </w:pPr>
          </w:p>
        </w:tc>
      </w:tr>
    </w:tbl>
    <w:p w:rsidR="00000000" w:rsidRDefault="006D431E">
      <w:pPr>
        <w:spacing w:before="60" w:after="60"/>
        <w:ind w:left="60" w:righ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sz w:val="24"/>
          <w:szCs w:val="24"/>
        </w:rPr>
        <w:t xml:space="preserve">In the said rules, in rule 114E, </w:t>
      </w:r>
      <w:r>
        <w:rPr>
          <w:sz w:val="24"/>
          <w:szCs w:val="24"/>
        </w:rPr>
        <w:t>—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27"/>
        <w:gridCol w:w="178"/>
        <w:gridCol w:w="287"/>
        <w:gridCol w:w="1822"/>
        <w:gridCol w:w="3493"/>
        <w:gridCol w:w="2974"/>
        <w:gridCol w:w="18"/>
        <w:gridCol w:w="78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98" w:type="dxa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sub-rule (2), in the Table, after serial number11 and entries relating thereto the following serial number and entries shall be inserted, namely:</w:t>
            </w:r>
            <w:r>
              <w:rPr>
                <w:sz w:val="24"/>
                <w:szCs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000000" w:rsidRDefault="006D4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Sl.No.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Nature and value of transaction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Class of person (reporting person)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000000" w:rsidRDefault="006D4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(1)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(2)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(3)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000000" w:rsidRDefault="006D4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"12.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Cash deposits during the period 09th November, 2016 to 30th December, 2016 aggregating to </w:t>
            </w:r>
            <w:r>
              <w:rPr>
                <w:rFonts w:ascii="Arial" w:eastAsia="Times New Roman" w:hAnsi="Arial" w:cs="Arial"/>
              </w:rPr>
              <w:t>—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"/>
              <w:gridCol w:w="270"/>
              <w:gridCol w:w="225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9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twelve lakh fifty thousand rupees or more, in one or more current account of a person;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9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9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two lakh fifty thousand rupees or more, in one or more </w:t>
                  </w:r>
                  <w:r>
                    <w:rPr>
                      <w:sz w:val="24"/>
                      <w:szCs w:val="24"/>
                    </w:rPr>
                    <w:t>accounts (other than a current account) of a person.</w:t>
                  </w:r>
                </w:p>
              </w:tc>
            </w:tr>
          </w:tbl>
          <w:p w:rsidR="00000000" w:rsidRDefault="006D431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"/>
              <w:gridCol w:w="269"/>
              <w:gridCol w:w="254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banking company or a co-operative bank to which the Banking Regulation Act, 1949 (10 of 1949) applies (including any bank or banking institution referred to in section 51 of that Act);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5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:rsidR="00000000" w:rsidRDefault="006D43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Post Master General as referred to in clause (j) of section 2 of the Indian Post Office Act, 1898 (6 of 1898).";</w:t>
                  </w:r>
                </w:p>
              </w:tc>
            </w:tr>
          </w:tbl>
          <w:p w:rsidR="00000000" w:rsidRDefault="006D431E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80" w:type="dxa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sub-rule (5), the following proviso shall be inserted, namely:</w:t>
            </w:r>
            <w:r>
              <w:rPr>
                <w:sz w:val="24"/>
                <w:szCs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80" w:type="dxa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00000" w:rsidRDefault="006D4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"Provided the statement of financial transaction in respect of the transactions listed at </w:t>
            </w:r>
            <w:r>
              <w:rPr>
                <w:sz w:val="24"/>
                <w:szCs w:val="24"/>
              </w:rPr>
              <w:lastRenderedPageBreak/>
              <w:t>serial number (12) in the Table under sub-rule (2), shall be furnished on or before the 31st day of January, 2017.".</w:t>
            </w:r>
          </w:p>
        </w:tc>
      </w:tr>
    </w:tbl>
    <w:p w:rsidR="00000000" w:rsidRDefault="006D431E">
      <w:pPr>
        <w:spacing w:after="8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■■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00000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1E"/>
    <w:rsid w:val="006D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Bhatiya1</dc:creator>
  <cp:lastModifiedBy>Bhatiya1</cp:lastModifiedBy>
  <cp:revision>2</cp:revision>
  <dcterms:created xsi:type="dcterms:W3CDTF">2016-11-30T06:31:00Z</dcterms:created>
  <dcterms:modified xsi:type="dcterms:W3CDTF">2016-11-30T06:31:00Z</dcterms:modified>
</cp:coreProperties>
</file>