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B23CB">
      <w:pPr>
        <w:spacing w:before="240" w:after="240"/>
        <w:jc w:val="center"/>
        <w:rPr>
          <w:rFonts w:ascii="Arial" w:eastAsia="Times New Roman" w:hAnsi="Arial" w:cs="Arial"/>
          <w:b/>
          <w:bCs/>
          <w:sz w:val="24"/>
          <w:szCs w:val="24"/>
        </w:rPr>
      </w:pPr>
      <w:r>
        <w:rPr>
          <w:rFonts w:ascii="Arial" w:eastAsia="Times New Roman" w:hAnsi="Arial" w:cs="Arial"/>
          <w:b/>
          <w:bCs/>
          <w:sz w:val="24"/>
          <w:szCs w:val="24"/>
        </w:rPr>
        <w:t xml:space="preserve">MISCELLANEOUS - RETRIEVAL OF BLACK MONEY STASHED IN FOREIGN COUNTRIES </w:t>
      </w:r>
    </w:p>
    <w:p w:rsidR="00000000" w:rsidRDefault="00CB23CB">
      <w:pPr>
        <w:spacing w:before="240" w:after="240"/>
        <w:jc w:val="center"/>
        <w:rPr>
          <w:rFonts w:ascii="Arial" w:eastAsia="Times New Roman" w:hAnsi="Arial" w:cs="Arial"/>
          <w:sz w:val="22"/>
          <w:szCs w:val="22"/>
        </w:rPr>
      </w:pPr>
      <w:r>
        <w:rPr>
          <w:rFonts w:ascii="Arial" w:eastAsia="Times New Roman" w:hAnsi="Arial" w:cs="Arial"/>
          <w:b/>
          <w:bCs/>
          <w:sz w:val="22"/>
          <w:szCs w:val="22"/>
        </w:rPr>
        <w:t>PRESS RELEASE</w:t>
      </w:r>
      <w:r>
        <w:rPr>
          <w:rFonts w:ascii="Arial" w:eastAsia="Times New Roman" w:hAnsi="Arial" w:cs="Arial"/>
          <w:sz w:val="22"/>
          <w:szCs w:val="22"/>
        </w:rPr>
        <w:t xml:space="preserve">, </w:t>
      </w:r>
      <w:r>
        <w:rPr>
          <w:rFonts w:ascii="Arial" w:eastAsia="Times New Roman" w:hAnsi="Arial" w:cs="Arial"/>
          <w:b/>
          <w:bCs/>
          <w:sz w:val="22"/>
          <w:szCs w:val="22"/>
        </w:rPr>
        <w:t>DATED 22-11-2016</w:t>
      </w:r>
    </w:p>
    <w:p w:rsidR="00000000" w:rsidRDefault="00CB23CB">
      <w:pPr>
        <w:spacing w:before="60" w:after="60"/>
        <w:ind w:left="60" w:right="60"/>
        <w:jc w:val="both"/>
        <w:rPr>
          <w:sz w:val="24"/>
          <w:szCs w:val="24"/>
        </w:rPr>
      </w:pPr>
      <w:r>
        <w:rPr>
          <w:sz w:val="24"/>
          <w:szCs w:val="24"/>
        </w:rPr>
        <w:t>The Government has taken several measures to effectively tackle the issue of black money, particularly black money stashe</w:t>
      </w:r>
      <w:r>
        <w:rPr>
          <w:sz w:val="24"/>
          <w:szCs w:val="24"/>
        </w:rPr>
        <w:t>d away abroad. Such measures, which are an ongoing process, include putting in place robust legislative and administrative frameworks, systems and processes with focus on capacity building and integration of information and its mining through increasing us</w:t>
      </w:r>
      <w:r>
        <w:rPr>
          <w:sz w:val="24"/>
          <w:szCs w:val="24"/>
        </w:rPr>
        <w:t>e of information technology.</w:t>
      </w:r>
    </w:p>
    <w:p w:rsidR="00000000" w:rsidRDefault="00CB23CB">
      <w:pPr>
        <w:spacing w:before="60" w:after="60"/>
        <w:ind w:left="60" w:right="60"/>
        <w:jc w:val="both"/>
        <w:rPr>
          <w:sz w:val="24"/>
          <w:szCs w:val="24"/>
        </w:rPr>
      </w:pPr>
      <w:r>
        <w:rPr>
          <w:sz w:val="24"/>
          <w:szCs w:val="24"/>
        </w:rPr>
        <w:t>Recent major initiatives in this regard include - (i) Constitution of the Special Investigation Team (SIT) on Black Money under Chairmanship and Vice-Chairmanship of two former Judges of Hon'ble Supreme Court, (ii) Enactment of</w:t>
      </w:r>
      <w:r>
        <w:rPr>
          <w:sz w:val="24"/>
          <w:szCs w:val="24"/>
        </w:rPr>
        <w:t xml:space="preserve"> a comprehensive law - 'The Black Money (Undisclosed Foreign Income and Assets) and Imposition of Tax Act, 2015' which has come into force w.e.f. 01.07.2015 to specifically and more effectively deal with the issue of black money stashed away abroad, (iii) </w:t>
      </w:r>
      <w:r>
        <w:rPr>
          <w:sz w:val="24"/>
          <w:szCs w:val="24"/>
        </w:rPr>
        <w:t>Constitution of Multi-Agency Group (MAG) consisting of officers of Central Board of Direct Taxes (CBDT), Reserve Bank of India (RBI), Enforcement Directorate (ED) and Financial Intelligence Unit (FIU) for investigation of recent revelations in Panama paper</w:t>
      </w:r>
      <w:r>
        <w:rPr>
          <w:sz w:val="24"/>
          <w:szCs w:val="24"/>
        </w:rPr>
        <w:t xml:space="preserve"> leaks, (iv) Proactively engaging with foreign governments with a view to facilitate and enhance the exchange of information under Double Taxation Avoidance Agreements (DTAAs)/Tax Information Exchange Agreements (TIEAs)/ Multilateral Conventions, (v) Accor</w:t>
      </w:r>
      <w:r>
        <w:rPr>
          <w:sz w:val="24"/>
          <w:szCs w:val="24"/>
        </w:rPr>
        <w:t>ding high priority to the cases involving black money stashed away abroad for investigation and other follow-up actions including prosecutions in appropriate cases, (vi) While focusing upon non-intrusive measures, due emphasis on enforcement measures in hi</w:t>
      </w:r>
      <w:r>
        <w:rPr>
          <w:sz w:val="24"/>
          <w:szCs w:val="24"/>
        </w:rPr>
        <w:t>gh impact cases with a view to prosecute the offenders at the earliest for credible deterrence against tax evasion/black money, (vii) Proactively furthering global efforts to combat tax evasion/ black money, inter alia, by joining the Multilateral Competen</w:t>
      </w:r>
      <w:r>
        <w:rPr>
          <w:sz w:val="24"/>
          <w:szCs w:val="24"/>
        </w:rPr>
        <w:t>t Authority Agreement in respect of Automatic Exchange of Information (AEOI) and having information sharing arrangement with USA under its Foreign Account Tax Compliance Act (FATCA), (viii) Renegotiation of DTAAs with other countries to bring the Article o</w:t>
      </w:r>
      <w:r>
        <w:rPr>
          <w:sz w:val="24"/>
          <w:szCs w:val="24"/>
        </w:rPr>
        <w:t xml:space="preserve">n Exchange of Information to International Standards and expanding India's treaty network by signing new DTAAs and TIEAs with many jurisdictions to facilitate the exchange of information and to bring transparency, (ix) Enabling attachment and confiscation </w:t>
      </w:r>
      <w:r>
        <w:rPr>
          <w:sz w:val="24"/>
          <w:szCs w:val="24"/>
        </w:rPr>
        <w:t>of property equivalent in value held within the country where the property/proceeds of crime is taken or held outside the country by amending the Prevention of Money-laundering Act, 2002 through the Finance Act, 2015, (x) Enactment of the Benami Transactio</w:t>
      </w:r>
      <w:r>
        <w:rPr>
          <w:sz w:val="24"/>
          <w:szCs w:val="24"/>
        </w:rPr>
        <w:t>ns (Prohibition) Amendment Act, 2016 to amend the Benami Transactions (Prohibition) Act, 1988 with a view to, inter alia, enable confiscation of Benami property and provide for prosecution, (xi) Initiation of the information technology based 'Project Insig</w:t>
      </w:r>
      <w:r>
        <w:rPr>
          <w:sz w:val="24"/>
          <w:szCs w:val="24"/>
        </w:rPr>
        <w:t>ht' by the Income Tax Department for strengthening the non-intrusive information driven approach for improving tax compliance and effective utilization of available information.</w:t>
      </w:r>
    </w:p>
    <w:p w:rsidR="00000000" w:rsidRDefault="00CB23CB">
      <w:pPr>
        <w:spacing w:before="60" w:after="60"/>
        <w:ind w:left="60" w:right="60"/>
        <w:jc w:val="both"/>
        <w:rPr>
          <w:sz w:val="24"/>
          <w:szCs w:val="24"/>
        </w:rPr>
      </w:pPr>
      <w:r>
        <w:rPr>
          <w:sz w:val="24"/>
          <w:szCs w:val="24"/>
        </w:rPr>
        <w:t>Recognizing various limitations under the existing legislation [Income-tax Act</w:t>
      </w:r>
      <w:r>
        <w:rPr>
          <w:sz w:val="24"/>
          <w:szCs w:val="24"/>
        </w:rPr>
        <w:t>, 1961, etc.], the Government enacted 'The Black Money (Undisclosed Foreign Income and Assets) and Imposition of Tax Act, 2015' to specifically and effectively tackle the issue of black money stashed away abroad. This has, inter alia, provided for more str</w:t>
      </w:r>
      <w:r>
        <w:rPr>
          <w:sz w:val="24"/>
          <w:szCs w:val="24"/>
        </w:rPr>
        <w:t>ingent provisions of penalties and prosecutions in respect of black money stashed away abroad. Further, under this law, for the first time the offence of wilful attempt to evade tax, etc. in relation to undisclosed foreign income/assets has been made a Sch</w:t>
      </w:r>
      <w:r>
        <w:rPr>
          <w:sz w:val="24"/>
          <w:szCs w:val="24"/>
        </w:rPr>
        <w:t xml:space="preserve">eduled Offence for the purposes of the Prevention of Money-laundering Act, 2002. This enables attachment and confiscation of the proceeds of crime of wilful attempt to evade such tax, etc., eventually leading to recovery of such undisclosed foreign income </w:t>
      </w:r>
      <w:r>
        <w:rPr>
          <w:sz w:val="24"/>
          <w:szCs w:val="24"/>
        </w:rPr>
        <w:t>and assets/black money stashed away abroad. The new law came into force w.e.f. 01.07.2015. However, before the cases involving black money stashed away abroad were subjected to more stringent provisions of the Black Money (Undisclosed Foreign Income and As</w:t>
      </w:r>
      <w:r>
        <w:rPr>
          <w:sz w:val="24"/>
          <w:szCs w:val="24"/>
        </w:rPr>
        <w:t xml:space="preserve">sets) and Imposition of Tax Act, 2015, a one-time three months' compliance window closing on 30th </w:t>
      </w:r>
      <w:r>
        <w:rPr>
          <w:sz w:val="24"/>
          <w:szCs w:val="24"/>
        </w:rPr>
        <w:lastRenderedPageBreak/>
        <w:t>September 2015 was provided under the new law wherein 648 declarations involving undisclosed foreign assets worth Rs.4164 crore were made. The amount collecte</w:t>
      </w:r>
      <w:r>
        <w:rPr>
          <w:sz w:val="24"/>
          <w:szCs w:val="24"/>
        </w:rPr>
        <w:t>d by way of tax and penalty in such cases is about Rs.2476 crore.</w:t>
      </w:r>
    </w:p>
    <w:p w:rsidR="00000000" w:rsidRDefault="00CB23CB">
      <w:pPr>
        <w:spacing w:before="60" w:after="60"/>
        <w:ind w:left="60" w:right="60"/>
        <w:jc w:val="both"/>
        <w:rPr>
          <w:sz w:val="24"/>
          <w:szCs w:val="24"/>
        </w:rPr>
      </w:pPr>
      <w:r>
        <w:rPr>
          <w:sz w:val="24"/>
          <w:szCs w:val="24"/>
        </w:rPr>
        <w:t>These measures have equipped the Government better in curbing the menace of black money stashed away abroad. Further, sustained and prompt action taken by the Income Tax Department in variou</w:t>
      </w:r>
      <w:r>
        <w:rPr>
          <w:sz w:val="24"/>
          <w:szCs w:val="24"/>
        </w:rPr>
        <w:t>s cases involving black money has resulted into assessment of substantial amounts of undisclosed income, levy of concealment penalty and filing of criminal prosecution complaints for various offences in appropriate cases.</w:t>
      </w:r>
    </w:p>
    <w:p w:rsidR="00000000" w:rsidRDefault="00CB23CB">
      <w:pPr>
        <w:spacing w:before="60" w:after="60"/>
        <w:ind w:left="60" w:right="60"/>
        <w:jc w:val="both"/>
        <w:rPr>
          <w:sz w:val="24"/>
          <w:szCs w:val="24"/>
        </w:rPr>
      </w:pPr>
      <w:r>
        <w:rPr>
          <w:sz w:val="24"/>
          <w:szCs w:val="24"/>
        </w:rPr>
        <w:t>As part of enforcement measures, d</w:t>
      </w:r>
      <w:r>
        <w:rPr>
          <w:sz w:val="24"/>
          <w:szCs w:val="24"/>
        </w:rPr>
        <w:t>uring the period from 01.04.2014 to 31.10.2016, the Income Tax Department (ITD) conducted searches in 1242 groups of assessees, seizing undisclosed assets worth Rs.2,029 Crore. These assessees admitted undisclosed income of Rs.28,567 Crore. During the same</w:t>
      </w:r>
      <w:r>
        <w:rPr>
          <w:sz w:val="24"/>
          <w:szCs w:val="24"/>
        </w:rPr>
        <w:t xml:space="preserve"> period, 13,690 surveys were conducted resulted in detection of undisclosed income of Rs.30,001 Crore. Further, during the period from 01.04.2014 to 30.09.2016, the Income Tax Department has filed 1514 prosecution complaints while offences were compounded </w:t>
      </w:r>
      <w:r>
        <w:rPr>
          <w:sz w:val="24"/>
          <w:szCs w:val="24"/>
        </w:rPr>
        <w:t>in 2244 cases and 75 persons have been convicted by the Courts.</w:t>
      </w:r>
    </w:p>
    <w:p w:rsidR="00000000" w:rsidRDefault="00CB23CB">
      <w:pPr>
        <w:spacing w:before="60" w:after="60"/>
        <w:ind w:left="60" w:right="60"/>
        <w:jc w:val="both"/>
        <w:rPr>
          <w:sz w:val="24"/>
          <w:szCs w:val="24"/>
        </w:rPr>
      </w:pPr>
      <w:r>
        <w:rPr>
          <w:sz w:val="24"/>
          <w:szCs w:val="24"/>
        </w:rPr>
        <w:t>The Government brought in the Income Declaration Scheme (IDS) in the Budget 2016 to provide opportunity to Indian persons to declare their undisclosed income and pay 45% tax, surcharge and pen</w:t>
      </w:r>
      <w:r>
        <w:rPr>
          <w:sz w:val="24"/>
          <w:szCs w:val="24"/>
        </w:rPr>
        <w:t>alty on such undisclosed income declared. About 64,275 (provisional) declarations disclosing undisclosed income of Rs.65,250 crore (provisional) were made under this scheme.</w:t>
      </w:r>
    </w:p>
    <w:p w:rsidR="00000000" w:rsidRDefault="00CB23CB">
      <w:pPr>
        <w:spacing w:before="60" w:after="60"/>
        <w:ind w:left="60" w:right="60"/>
        <w:jc w:val="both"/>
        <w:rPr>
          <w:sz w:val="24"/>
          <w:szCs w:val="24"/>
        </w:rPr>
      </w:pPr>
      <w:r>
        <w:rPr>
          <w:sz w:val="24"/>
          <w:szCs w:val="24"/>
        </w:rPr>
        <w:t>This was stated by Shri Santosh Kumar Gangwar, Minister of State in the Ministry o</w:t>
      </w:r>
      <w:r>
        <w:rPr>
          <w:sz w:val="24"/>
          <w:szCs w:val="24"/>
        </w:rPr>
        <w:t>f Finance in written reply to a question in Rajya Sabha today.</w:t>
      </w:r>
    </w:p>
    <w:p w:rsidR="00000000" w:rsidRDefault="00CB23CB">
      <w:pPr>
        <w:spacing w:after="80"/>
        <w:jc w:val="right"/>
        <w:rPr>
          <w:rFonts w:ascii="Arial" w:eastAsia="Times New Roman" w:hAnsi="Arial" w:cs="Arial"/>
          <w:sz w:val="24"/>
          <w:szCs w:val="24"/>
        </w:rPr>
      </w:pPr>
      <w:r>
        <w:rPr>
          <w:rFonts w:ascii="Arial" w:eastAsia="Times New Roman" w:hAnsi="Arial" w:cs="Arial"/>
          <w:sz w:val="24"/>
          <w:szCs w:val="24"/>
        </w:rPr>
        <w:t>■■</w:t>
      </w:r>
      <w:r>
        <w:rPr>
          <w:rFonts w:ascii="Arial" w:eastAsia="Times New Roman" w:hAnsi="Arial" w:cs="Arial"/>
          <w:sz w:val="24"/>
          <w:szCs w:val="24"/>
        </w:rPr>
        <w:t xml:space="preserve"> </w:t>
      </w:r>
    </w:p>
    <w:sectPr w:rsidR="00000000">
      <w:pgSz w:w="12240" w:h="15840"/>
      <w:pgMar w:top="1080" w:right="1080" w:bottom="1080" w:left="108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useFELayout/>
  </w:compat>
  <w:rsids>
    <w:rsidRoot w:val="00CB23CB"/>
    <w:rsid w:val="00CB23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lang w:val="en-IN"/>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901</Words>
  <Characters>5278</Characters>
  <Application>Microsoft Office Word</Application>
  <DocSecurity>0</DocSecurity>
  <Lines>43</Lines>
  <Paragraphs>12</Paragraphs>
  <ScaleCrop>false</ScaleCrop>
  <Company/>
  <LinksUpToDate>false</LinksUpToDate>
  <CharactersWithSpaces>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Bhatiya1</dc:creator>
  <cp:lastModifiedBy>Bhatiya1</cp:lastModifiedBy>
  <cp:revision>2</cp:revision>
  <dcterms:created xsi:type="dcterms:W3CDTF">2016-11-30T06:29:00Z</dcterms:created>
  <dcterms:modified xsi:type="dcterms:W3CDTF">2016-11-30T06:29:00Z</dcterms:modified>
</cp:coreProperties>
</file>