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1F3" w:rsidRPr="00427AAB" w:rsidRDefault="00552D70" w:rsidP="008D0A27">
      <w:pPr>
        <w:jc w:val="both"/>
        <w:rPr>
          <w:rFonts w:ascii="Book Antiqua" w:hAnsi="Book Antiqua" w:cs="Times New Roman"/>
          <w:b/>
          <w:sz w:val="26"/>
          <w:szCs w:val="26"/>
          <w:u w:val="single"/>
        </w:rPr>
      </w:pPr>
      <w:bookmarkStart w:id="0" w:name="_GoBack"/>
      <w:r w:rsidRPr="00427AAB">
        <w:rPr>
          <w:rFonts w:ascii="Book Antiqua" w:hAnsi="Book Antiqua" w:cs="Times New Roman"/>
          <w:b/>
          <w:sz w:val="26"/>
          <w:szCs w:val="26"/>
          <w:u w:val="single"/>
        </w:rPr>
        <w:t xml:space="preserve">Taxability of Long Term Capital </w:t>
      </w:r>
      <w:r w:rsidR="00D12CB1" w:rsidRPr="00427AAB">
        <w:rPr>
          <w:rFonts w:ascii="Book Antiqua" w:hAnsi="Book Antiqua" w:cs="Times New Roman"/>
          <w:b/>
          <w:sz w:val="26"/>
          <w:szCs w:val="26"/>
          <w:u w:val="single"/>
        </w:rPr>
        <w:t>Gain</w:t>
      </w:r>
      <w:r w:rsidR="00DB0F46" w:rsidRPr="00427AAB">
        <w:rPr>
          <w:rFonts w:ascii="Book Antiqua" w:hAnsi="Book Antiqua" w:cs="Times New Roman"/>
          <w:b/>
          <w:sz w:val="26"/>
          <w:szCs w:val="26"/>
          <w:u w:val="single"/>
        </w:rPr>
        <w:t>s</w:t>
      </w:r>
      <w:r w:rsidR="00D12CB1" w:rsidRPr="00427AAB">
        <w:rPr>
          <w:rFonts w:ascii="Book Antiqua" w:hAnsi="Book Antiqua" w:cs="Times New Roman"/>
          <w:b/>
          <w:sz w:val="26"/>
          <w:szCs w:val="26"/>
          <w:u w:val="single"/>
        </w:rPr>
        <w:t xml:space="preserve"> </w:t>
      </w:r>
    </w:p>
    <w:p w:rsidR="00B42085" w:rsidRPr="00427AAB" w:rsidRDefault="00FC61F3" w:rsidP="008D0A27">
      <w:pPr>
        <w:jc w:val="both"/>
        <w:rPr>
          <w:rFonts w:ascii="Book Antiqua" w:hAnsi="Book Antiqua" w:cs="Times New Roman"/>
          <w:b/>
          <w:sz w:val="26"/>
          <w:szCs w:val="26"/>
          <w:u w:val="single"/>
        </w:rPr>
      </w:pPr>
      <w:r w:rsidRPr="00427AAB">
        <w:rPr>
          <w:rFonts w:ascii="Book Antiqua" w:hAnsi="Book Antiqua" w:cs="Times New Roman"/>
          <w:b/>
          <w:sz w:val="26"/>
          <w:szCs w:val="26"/>
          <w:u w:val="single"/>
        </w:rPr>
        <w:t>-</w:t>
      </w:r>
      <w:r w:rsidR="00D12CB1" w:rsidRPr="00427AAB">
        <w:rPr>
          <w:rFonts w:ascii="Book Antiqua" w:hAnsi="Book Antiqua" w:cs="Times New Roman"/>
          <w:b/>
          <w:sz w:val="26"/>
          <w:szCs w:val="26"/>
          <w:u w:val="single"/>
        </w:rPr>
        <w:t>Implications</w:t>
      </w:r>
      <w:r w:rsidR="00552D70" w:rsidRPr="00427AAB">
        <w:rPr>
          <w:rFonts w:ascii="Book Antiqua" w:hAnsi="Book Antiqua" w:cs="Times New Roman"/>
          <w:b/>
          <w:sz w:val="26"/>
          <w:szCs w:val="26"/>
          <w:u w:val="single"/>
        </w:rPr>
        <w:t xml:space="preserve"> &amp; clarification</w:t>
      </w:r>
      <w:bookmarkEnd w:id="0"/>
    </w:p>
    <w:p w:rsidR="00552D70" w:rsidRPr="00427AAB" w:rsidRDefault="00552D70" w:rsidP="008D0A27">
      <w:pPr>
        <w:jc w:val="both"/>
        <w:rPr>
          <w:rFonts w:ascii="Book Antiqua" w:hAnsi="Book Antiqua" w:cs="Times New Roman"/>
          <w:b/>
          <w:sz w:val="26"/>
          <w:szCs w:val="26"/>
          <w:u w:val="single"/>
        </w:rPr>
      </w:pPr>
    </w:p>
    <w:p w:rsidR="00552D70" w:rsidRPr="00427AAB" w:rsidRDefault="00552D70" w:rsidP="008D0A27">
      <w:pPr>
        <w:jc w:val="both"/>
        <w:rPr>
          <w:rFonts w:ascii="Book Antiqua" w:hAnsi="Book Antiqua" w:cs="Times New Roman"/>
          <w:sz w:val="26"/>
          <w:szCs w:val="26"/>
        </w:rPr>
      </w:pPr>
      <w:r w:rsidRPr="00427AAB">
        <w:rPr>
          <w:rFonts w:ascii="Book Antiqua" w:hAnsi="Book Antiqua" w:cs="Times New Roman"/>
          <w:sz w:val="26"/>
          <w:szCs w:val="26"/>
        </w:rPr>
        <w:t>1</w:t>
      </w:r>
      <w:r w:rsidRPr="00427AAB">
        <w:rPr>
          <w:rFonts w:ascii="Book Antiqua" w:hAnsi="Book Antiqua" w:cs="Times New Roman"/>
          <w:sz w:val="26"/>
          <w:szCs w:val="26"/>
        </w:rPr>
        <w:tab/>
      </w:r>
      <w:r w:rsidRPr="00634729">
        <w:rPr>
          <w:rFonts w:ascii="Book Antiqua" w:hAnsi="Book Antiqua" w:cs="Times New Roman"/>
          <w:sz w:val="26"/>
          <w:szCs w:val="26"/>
          <w:u w:val="single"/>
        </w:rPr>
        <w:t>Background</w:t>
      </w:r>
    </w:p>
    <w:p w:rsidR="00552D70" w:rsidRDefault="00552D70" w:rsidP="008D0A27">
      <w:pPr>
        <w:spacing w:line="480" w:lineRule="auto"/>
        <w:ind w:left="720"/>
        <w:jc w:val="both"/>
        <w:rPr>
          <w:rFonts w:ascii="Book Antiqua" w:hAnsi="Book Antiqua" w:cs="Times New Roman"/>
          <w:sz w:val="26"/>
          <w:szCs w:val="26"/>
        </w:rPr>
      </w:pPr>
      <w:r w:rsidRPr="00427AAB">
        <w:rPr>
          <w:rFonts w:ascii="Book Antiqua" w:hAnsi="Book Antiqua" w:cs="Times New Roman"/>
          <w:sz w:val="26"/>
          <w:szCs w:val="26"/>
        </w:rPr>
        <w:t xml:space="preserve">The Finance Bill 2018 has proposed certain amendments in regard to scheme of taxing Long Term Capital Gain arising on transfer of listed equity shares and units of mutual funds.  Under the existing tax regime, Long Term Capital Gain arising  from transfer of long term capital asset  on which STT is paid is exempt from the income tax u/s 10(38) of the Income Tax Act.  However, the present tax exemption was misused and abused as </w:t>
      </w:r>
      <w:r w:rsidR="00634729">
        <w:rPr>
          <w:rFonts w:ascii="Book Antiqua" w:hAnsi="Book Antiqua" w:cs="Times New Roman"/>
          <w:sz w:val="26"/>
          <w:szCs w:val="26"/>
        </w:rPr>
        <w:t xml:space="preserve">a tool of </w:t>
      </w:r>
      <w:r w:rsidRPr="00427AAB">
        <w:rPr>
          <w:rFonts w:ascii="Book Antiqua" w:hAnsi="Book Antiqua" w:cs="Times New Roman"/>
          <w:sz w:val="26"/>
          <w:szCs w:val="26"/>
        </w:rPr>
        <w:t xml:space="preserve">tax evasion.  Even </w:t>
      </w:r>
      <w:r w:rsidR="00634729">
        <w:rPr>
          <w:rFonts w:ascii="Book Antiqua" w:hAnsi="Book Antiqua" w:cs="Times New Roman"/>
          <w:sz w:val="26"/>
          <w:szCs w:val="26"/>
        </w:rPr>
        <w:t>certain manufacturing units had</w:t>
      </w:r>
      <w:r w:rsidRPr="00427AAB">
        <w:rPr>
          <w:rFonts w:ascii="Book Antiqua" w:hAnsi="Book Antiqua" w:cs="Times New Roman"/>
          <w:sz w:val="26"/>
          <w:szCs w:val="26"/>
        </w:rPr>
        <w:t xml:space="preserve"> reduced manufacturing activities and diver</w:t>
      </w:r>
      <w:r w:rsidR="00DB0F46" w:rsidRPr="00427AAB">
        <w:rPr>
          <w:rFonts w:ascii="Book Antiqua" w:hAnsi="Book Antiqua" w:cs="Times New Roman"/>
          <w:sz w:val="26"/>
          <w:szCs w:val="26"/>
        </w:rPr>
        <w:t xml:space="preserve">ted its funds to the financial </w:t>
      </w:r>
      <w:r w:rsidRPr="00427AAB">
        <w:rPr>
          <w:rFonts w:ascii="Book Antiqua" w:hAnsi="Book Antiqua" w:cs="Times New Roman"/>
          <w:sz w:val="26"/>
          <w:szCs w:val="26"/>
        </w:rPr>
        <w:t>mark</w:t>
      </w:r>
      <w:r w:rsidR="00DB0F46" w:rsidRPr="00427AAB">
        <w:rPr>
          <w:rFonts w:ascii="Book Antiqua" w:hAnsi="Book Antiqua" w:cs="Times New Roman"/>
          <w:sz w:val="26"/>
          <w:szCs w:val="26"/>
        </w:rPr>
        <w:t xml:space="preserve">et for </w:t>
      </w:r>
      <w:r w:rsidR="00634729">
        <w:rPr>
          <w:rFonts w:ascii="Book Antiqua" w:hAnsi="Book Antiqua" w:cs="Times New Roman"/>
          <w:sz w:val="26"/>
          <w:szCs w:val="26"/>
        </w:rPr>
        <w:t>earning exempt income i.e. long term capital gain</w:t>
      </w:r>
      <w:r w:rsidR="00DB0F46" w:rsidRPr="00427AAB">
        <w:rPr>
          <w:rFonts w:ascii="Book Antiqua" w:hAnsi="Book Antiqua" w:cs="Times New Roman"/>
          <w:sz w:val="26"/>
          <w:szCs w:val="26"/>
        </w:rPr>
        <w:t>.</w:t>
      </w:r>
      <w:r w:rsidR="00634729">
        <w:rPr>
          <w:rFonts w:ascii="Book Antiqua" w:hAnsi="Book Antiqua" w:cs="Times New Roman"/>
          <w:sz w:val="26"/>
          <w:szCs w:val="26"/>
        </w:rPr>
        <w:t xml:space="preserve"> Therefore</w:t>
      </w:r>
      <w:r w:rsidR="00DB0F46" w:rsidRPr="00427AAB">
        <w:rPr>
          <w:rFonts w:ascii="Book Antiqua" w:hAnsi="Book Antiqua" w:cs="Times New Roman"/>
          <w:sz w:val="26"/>
          <w:szCs w:val="26"/>
        </w:rPr>
        <w:t xml:space="preserve"> </w:t>
      </w:r>
      <w:r w:rsidR="00634729">
        <w:rPr>
          <w:rFonts w:ascii="Book Antiqua" w:hAnsi="Book Antiqua" w:cs="Times New Roman"/>
          <w:sz w:val="26"/>
          <w:szCs w:val="26"/>
        </w:rPr>
        <w:t>t</w:t>
      </w:r>
      <w:r w:rsidRPr="00427AAB">
        <w:rPr>
          <w:rFonts w:ascii="Book Antiqua" w:hAnsi="Book Antiqua" w:cs="Times New Roman"/>
          <w:sz w:val="26"/>
          <w:szCs w:val="26"/>
        </w:rPr>
        <w:t>he proposed amendment</w:t>
      </w:r>
      <w:r w:rsidR="00634729">
        <w:rPr>
          <w:rFonts w:ascii="Book Antiqua" w:hAnsi="Book Antiqua" w:cs="Times New Roman"/>
          <w:sz w:val="26"/>
          <w:szCs w:val="26"/>
        </w:rPr>
        <w:t xml:space="preserve"> is brought</w:t>
      </w:r>
      <w:r w:rsidRPr="00427AAB">
        <w:rPr>
          <w:rFonts w:ascii="Book Antiqua" w:hAnsi="Book Antiqua" w:cs="Times New Roman"/>
          <w:sz w:val="26"/>
          <w:szCs w:val="26"/>
        </w:rPr>
        <w:t xml:space="preserve"> to tax Long Term Capital Gain to avoid </w:t>
      </w:r>
      <w:r w:rsidR="00F241FB">
        <w:rPr>
          <w:rFonts w:ascii="Book Antiqua" w:hAnsi="Book Antiqua" w:cs="Times New Roman"/>
          <w:sz w:val="26"/>
          <w:szCs w:val="26"/>
        </w:rPr>
        <w:t>conversion of taxable income into exempt income and also to stop its misuse.</w:t>
      </w:r>
    </w:p>
    <w:p w:rsidR="00F41BFF" w:rsidRDefault="00F41BFF" w:rsidP="008D0A27">
      <w:pPr>
        <w:spacing w:line="480" w:lineRule="auto"/>
        <w:ind w:left="720"/>
        <w:jc w:val="both"/>
        <w:rPr>
          <w:rFonts w:ascii="Book Antiqua" w:hAnsi="Book Antiqua" w:cs="Times New Roman"/>
          <w:sz w:val="26"/>
          <w:szCs w:val="26"/>
        </w:rPr>
      </w:pPr>
      <w:r>
        <w:rPr>
          <w:rFonts w:ascii="Book Antiqua" w:hAnsi="Book Antiqua" w:cs="Times New Roman"/>
          <w:sz w:val="26"/>
          <w:szCs w:val="26"/>
        </w:rPr>
        <w:t>The CBDT has clarified the legal position vide circular no.370149/20/2018 dated 04.02.2018.</w:t>
      </w:r>
    </w:p>
    <w:p w:rsidR="00F41BFF" w:rsidRDefault="00F41BFF" w:rsidP="008D0A27">
      <w:pPr>
        <w:spacing w:line="480" w:lineRule="auto"/>
        <w:ind w:left="720"/>
        <w:jc w:val="both"/>
        <w:rPr>
          <w:rFonts w:ascii="Book Antiqua" w:hAnsi="Book Antiqua" w:cs="Times New Roman"/>
          <w:sz w:val="26"/>
          <w:szCs w:val="26"/>
        </w:rPr>
      </w:pPr>
    </w:p>
    <w:p w:rsidR="00F41BFF" w:rsidRPr="00427AAB" w:rsidRDefault="00F41BFF" w:rsidP="008D0A27">
      <w:pPr>
        <w:spacing w:line="480" w:lineRule="auto"/>
        <w:ind w:left="720"/>
        <w:jc w:val="both"/>
        <w:rPr>
          <w:rFonts w:ascii="Book Antiqua" w:hAnsi="Book Antiqua" w:cs="Times New Roman"/>
          <w:sz w:val="26"/>
          <w:szCs w:val="26"/>
        </w:rPr>
      </w:pPr>
    </w:p>
    <w:p w:rsidR="00F241FB" w:rsidRDefault="00552D70" w:rsidP="00F241FB">
      <w:pPr>
        <w:spacing w:line="480" w:lineRule="auto"/>
        <w:jc w:val="both"/>
        <w:rPr>
          <w:rFonts w:ascii="Book Antiqua" w:hAnsi="Book Antiqua" w:cs="Times New Roman"/>
          <w:sz w:val="26"/>
          <w:szCs w:val="26"/>
        </w:rPr>
      </w:pPr>
      <w:r w:rsidRPr="00427AAB">
        <w:rPr>
          <w:rFonts w:ascii="Book Antiqua" w:hAnsi="Book Antiqua" w:cs="Times New Roman"/>
          <w:sz w:val="26"/>
          <w:szCs w:val="26"/>
        </w:rPr>
        <w:lastRenderedPageBreak/>
        <w:t>2</w:t>
      </w:r>
      <w:r w:rsidRPr="00427AAB">
        <w:rPr>
          <w:rFonts w:ascii="Book Antiqua" w:hAnsi="Book Antiqua" w:cs="Times New Roman"/>
          <w:sz w:val="26"/>
          <w:szCs w:val="26"/>
        </w:rPr>
        <w:tab/>
      </w:r>
      <w:r w:rsidR="00F241FB">
        <w:rPr>
          <w:rFonts w:ascii="Book Antiqua" w:hAnsi="Book Antiqua" w:cs="Times New Roman"/>
          <w:sz w:val="26"/>
          <w:szCs w:val="26"/>
        </w:rPr>
        <w:t xml:space="preserve">What is </w:t>
      </w:r>
      <w:r w:rsidRPr="00427AAB">
        <w:rPr>
          <w:rFonts w:ascii="Book Antiqua" w:hAnsi="Book Antiqua" w:cs="Times New Roman"/>
          <w:sz w:val="26"/>
          <w:szCs w:val="26"/>
        </w:rPr>
        <w:t>Proposed Amendment</w:t>
      </w:r>
      <w:r w:rsidR="00F241FB">
        <w:rPr>
          <w:rFonts w:ascii="Book Antiqua" w:hAnsi="Book Antiqua" w:cs="Times New Roman"/>
          <w:sz w:val="26"/>
          <w:szCs w:val="26"/>
        </w:rPr>
        <w:t>?</w:t>
      </w:r>
    </w:p>
    <w:p w:rsidR="00552D70" w:rsidRPr="00427AAB" w:rsidRDefault="00F241FB" w:rsidP="00F241FB">
      <w:pPr>
        <w:spacing w:line="480" w:lineRule="auto"/>
        <w:ind w:left="720"/>
        <w:jc w:val="both"/>
        <w:rPr>
          <w:rFonts w:ascii="Book Antiqua" w:hAnsi="Book Antiqua" w:cs="Times New Roman"/>
          <w:sz w:val="26"/>
          <w:szCs w:val="26"/>
        </w:rPr>
      </w:pPr>
      <w:r>
        <w:rPr>
          <w:rFonts w:ascii="Book Antiqua" w:hAnsi="Book Antiqua" w:cs="Times New Roman"/>
          <w:sz w:val="26"/>
          <w:szCs w:val="26"/>
        </w:rPr>
        <w:t>U</w:t>
      </w:r>
      <w:r w:rsidR="00552D70" w:rsidRPr="00427AAB">
        <w:rPr>
          <w:rFonts w:ascii="Book Antiqua" w:hAnsi="Book Antiqua" w:cs="Times New Roman"/>
          <w:sz w:val="26"/>
          <w:szCs w:val="26"/>
        </w:rPr>
        <w:t xml:space="preserve">nder the proposed amendment </w:t>
      </w:r>
      <w:r>
        <w:rPr>
          <w:rFonts w:ascii="Book Antiqua" w:hAnsi="Book Antiqua" w:cs="Times New Roman"/>
          <w:sz w:val="26"/>
          <w:szCs w:val="26"/>
        </w:rPr>
        <w:t xml:space="preserve">the </w:t>
      </w:r>
      <w:r w:rsidR="00552D70" w:rsidRPr="00427AAB">
        <w:rPr>
          <w:rFonts w:ascii="Book Antiqua" w:hAnsi="Book Antiqua" w:cs="Times New Roman"/>
          <w:sz w:val="26"/>
          <w:szCs w:val="26"/>
        </w:rPr>
        <w:t>existing Section 10(38) which exempt Long Term Capital Gain is withdrawn and new section 112A is introduced which provide that Long Term Capital Gain</w:t>
      </w:r>
      <w:r>
        <w:rPr>
          <w:rFonts w:ascii="Book Antiqua" w:hAnsi="Book Antiqua" w:cs="Times New Roman"/>
          <w:sz w:val="26"/>
          <w:szCs w:val="26"/>
        </w:rPr>
        <w:t xml:space="preserve"> arising from transfer of certain </w:t>
      </w:r>
      <w:r w:rsidR="00FF7D8B" w:rsidRPr="00427AAB">
        <w:rPr>
          <w:rFonts w:ascii="Book Antiqua" w:hAnsi="Book Antiqua" w:cs="Times New Roman"/>
          <w:sz w:val="26"/>
          <w:szCs w:val="26"/>
        </w:rPr>
        <w:t>long term capital asset exceeding Rs.1</w:t>
      </w:r>
      <w:proofErr w:type="gramStart"/>
      <w:r w:rsidR="00FF7D8B" w:rsidRPr="00427AAB">
        <w:rPr>
          <w:rFonts w:ascii="Book Antiqua" w:hAnsi="Book Antiqua" w:cs="Times New Roman"/>
          <w:sz w:val="26"/>
          <w:szCs w:val="26"/>
        </w:rPr>
        <w:t>,00,000</w:t>
      </w:r>
      <w:proofErr w:type="gramEnd"/>
      <w:r w:rsidR="00FF7D8B" w:rsidRPr="00427AAB">
        <w:rPr>
          <w:rFonts w:ascii="Book Antiqua" w:hAnsi="Book Antiqua" w:cs="Times New Roman"/>
          <w:sz w:val="26"/>
          <w:szCs w:val="26"/>
        </w:rPr>
        <w:t xml:space="preserve"> will  be taxed at concessional rate of 10%.</w:t>
      </w:r>
    </w:p>
    <w:p w:rsidR="00FF7D8B" w:rsidRPr="00427AAB" w:rsidRDefault="00FF7D8B" w:rsidP="008D0A27">
      <w:pPr>
        <w:spacing w:line="480" w:lineRule="auto"/>
        <w:jc w:val="both"/>
        <w:rPr>
          <w:rFonts w:ascii="Book Antiqua" w:hAnsi="Book Antiqua" w:cs="Times New Roman"/>
          <w:sz w:val="26"/>
          <w:szCs w:val="26"/>
        </w:rPr>
      </w:pPr>
      <w:r w:rsidRPr="00427AAB">
        <w:rPr>
          <w:rFonts w:ascii="Book Antiqua" w:hAnsi="Book Antiqua" w:cs="Times New Roman"/>
          <w:sz w:val="26"/>
          <w:szCs w:val="26"/>
        </w:rPr>
        <w:t>3</w:t>
      </w:r>
      <w:r w:rsidRPr="00427AAB">
        <w:rPr>
          <w:rFonts w:ascii="Book Antiqua" w:hAnsi="Book Antiqua" w:cs="Times New Roman"/>
          <w:sz w:val="26"/>
          <w:szCs w:val="26"/>
        </w:rPr>
        <w:tab/>
      </w:r>
      <w:r w:rsidR="00F241FB">
        <w:rPr>
          <w:rFonts w:ascii="Book Antiqua" w:hAnsi="Book Antiqua" w:cs="Times New Roman"/>
          <w:sz w:val="26"/>
          <w:szCs w:val="26"/>
        </w:rPr>
        <w:t xml:space="preserve">What </w:t>
      </w:r>
      <w:proofErr w:type="gramStart"/>
      <w:r w:rsidR="00F241FB">
        <w:rPr>
          <w:rFonts w:ascii="Book Antiqua" w:hAnsi="Book Antiqua" w:cs="Times New Roman"/>
          <w:sz w:val="26"/>
          <w:szCs w:val="26"/>
        </w:rPr>
        <w:t xml:space="preserve">are </w:t>
      </w:r>
      <w:r w:rsidRPr="00427AAB">
        <w:rPr>
          <w:rFonts w:ascii="Book Antiqua" w:hAnsi="Book Antiqua" w:cs="Times New Roman"/>
          <w:sz w:val="26"/>
          <w:szCs w:val="26"/>
        </w:rPr>
        <w:t>Long Term capital asset</w:t>
      </w:r>
      <w:proofErr w:type="gramEnd"/>
      <w:r w:rsidR="00F241FB">
        <w:rPr>
          <w:rFonts w:ascii="Book Antiqua" w:hAnsi="Book Antiqua" w:cs="Times New Roman"/>
          <w:sz w:val="26"/>
          <w:szCs w:val="26"/>
        </w:rPr>
        <w:t>?</w:t>
      </w:r>
    </w:p>
    <w:p w:rsidR="00FF7D8B" w:rsidRPr="00427AAB" w:rsidRDefault="00FF7D8B" w:rsidP="008D0A27">
      <w:pPr>
        <w:pStyle w:val="ListParagraph"/>
        <w:numPr>
          <w:ilvl w:val="0"/>
          <w:numId w:val="1"/>
        </w:numPr>
        <w:spacing w:line="480" w:lineRule="auto"/>
        <w:jc w:val="both"/>
        <w:rPr>
          <w:rFonts w:ascii="Book Antiqua" w:hAnsi="Book Antiqua" w:cs="Times New Roman"/>
          <w:sz w:val="26"/>
          <w:szCs w:val="26"/>
        </w:rPr>
      </w:pPr>
      <w:r w:rsidRPr="00427AAB">
        <w:rPr>
          <w:rFonts w:ascii="Book Antiqua" w:hAnsi="Book Antiqua" w:cs="Times New Roman"/>
          <w:sz w:val="26"/>
          <w:szCs w:val="26"/>
        </w:rPr>
        <w:t xml:space="preserve">Equity Shares in a company listed on a </w:t>
      </w:r>
      <w:proofErr w:type="spellStart"/>
      <w:r w:rsidRPr="00427AAB">
        <w:rPr>
          <w:rFonts w:ascii="Book Antiqua" w:hAnsi="Book Antiqua" w:cs="Times New Roman"/>
          <w:sz w:val="26"/>
          <w:szCs w:val="26"/>
        </w:rPr>
        <w:t>recognised</w:t>
      </w:r>
      <w:proofErr w:type="spellEnd"/>
      <w:r w:rsidRPr="00427AAB">
        <w:rPr>
          <w:rFonts w:ascii="Book Antiqua" w:hAnsi="Book Antiqua" w:cs="Times New Roman"/>
          <w:sz w:val="26"/>
          <w:szCs w:val="26"/>
        </w:rPr>
        <w:t xml:space="preserve"> stock exchange;</w:t>
      </w:r>
    </w:p>
    <w:p w:rsidR="00FF7D8B" w:rsidRPr="00427AAB" w:rsidRDefault="00FF7D8B" w:rsidP="008D0A27">
      <w:pPr>
        <w:pStyle w:val="ListParagraph"/>
        <w:spacing w:line="480" w:lineRule="auto"/>
        <w:jc w:val="both"/>
        <w:rPr>
          <w:rFonts w:ascii="Book Antiqua" w:hAnsi="Book Antiqua" w:cs="Times New Roman"/>
          <w:sz w:val="26"/>
          <w:szCs w:val="26"/>
        </w:rPr>
      </w:pPr>
      <w:r w:rsidRPr="00427AAB">
        <w:rPr>
          <w:rFonts w:ascii="Book Antiqua" w:hAnsi="Book Antiqua" w:cs="Times New Roman"/>
          <w:sz w:val="26"/>
          <w:szCs w:val="26"/>
        </w:rPr>
        <w:t xml:space="preserve"> (b)</w:t>
      </w:r>
      <w:r w:rsidRPr="00427AAB">
        <w:rPr>
          <w:rFonts w:ascii="Book Antiqua" w:hAnsi="Book Antiqua" w:cs="Times New Roman"/>
          <w:sz w:val="26"/>
          <w:szCs w:val="26"/>
        </w:rPr>
        <w:tab/>
        <w:t xml:space="preserve"> Unit of an equity oriented fund; and</w:t>
      </w:r>
    </w:p>
    <w:p w:rsidR="00FF7D8B" w:rsidRPr="00427AAB" w:rsidRDefault="00FF7D8B" w:rsidP="008D0A27">
      <w:pPr>
        <w:pStyle w:val="ListParagraph"/>
        <w:spacing w:line="480" w:lineRule="auto"/>
        <w:jc w:val="both"/>
        <w:rPr>
          <w:rFonts w:ascii="Book Antiqua" w:hAnsi="Book Antiqua" w:cs="Times New Roman"/>
          <w:sz w:val="26"/>
          <w:szCs w:val="26"/>
        </w:rPr>
      </w:pPr>
      <w:r w:rsidRPr="00427AAB">
        <w:rPr>
          <w:rFonts w:ascii="Book Antiqua" w:hAnsi="Book Antiqua" w:cs="Times New Roman"/>
          <w:sz w:val="26"/>
          <w:szCs w:val="26"/>
        </w:rPr>
        <w:t xml:space="preserve"> (c) </w:t>
      </w:r>
      <w:r w:rsidR="002F72C1" w:rsidRPr="00427AAB">
        <w:rPr>
          <w:rFonts w:ascii="Book Antiqua" w:hAnsi="Book Antiqua" w:cs="Times New Roman"/>
          <w:sz w:val="26"/>
          <w:szCs w:val="26"/>
        </w:rPr>
        <w:t xml:space="preserve">      </w:t>
      </w:r>
      <w:r w:rsidRPr="00427AAB">
        <w:rPr>
          <w:rFonts w:ascii="Book Antiqua" w:hAnsi="Book Antiqua" w:cs="Times New Roman"/>
          <w:sz w:val="26"/>
          <w:szCs w:val="26"/>
        </w:rPr>
        <w:t>Unit of a business trust.</w:t>
      </w:r>
    </w:p>
    <w:p w:rsidR="00FF7D8B" w:rsidRDefault="00F241FB" w:rsidP="008D0A27">
      <w:pPr>
        <w:spacing w:line="480" w:lineRule="auto"/>
        <w:ind w:left="720"/>
        <w:jc w:val="both"/>
        <w:rPr>
          <w:rFonts w:ascii="Book Antiqua" w:hAnsi="Book Antiqua" w:cs="Times New Roman"/>
          <w:sz w:val="26"/>
          <w:szCs w:val="26"/>
        </w:rPr>
      </w:pPr>
      <w:r>
        <w:rPr>
          <w:rFonts w:ascii="Book Antiqua" w:hAnsi="Book Antiqua" w:cs="Times New Roman"/>
          <w:sz w:val="26"/>
          <w:szCs w:val="26"/>
        </w:rPr>
        <w:t>Further, t</w:t>
      </w:r>
      <w:r w:rsidR="00FF7D8B" w:rsidRPr="00427AAB">
        <w:rPr>
          <w:rFonts w:ascii="Book Antiqua" w:hAnsi="Book Antiqua" w:cs="Times New Roman"/>
          <w:sz w:val="26"/>
          <w:szCs w:val="26"/>
        </w:rPr>
        <w:t>he above assets must be held for more than minimum period of 12 months from the date acquisition and STT is paid at the time of transfer and</w:t>
      </w:r>
      <w:r>
        <w:rPr>
          <w:rFonts w:ascii="Book Antiqua" w:hAnsi="Book Antiqua" w:cs="Times New Roman"/>
          <w:sz w:val="26"/>
          <w:szCs w:val="26"/>
        </w:rPr>
        <w:t xml:space="preserve"> also</w:t>
      </w:r>
      <w:r w:rsidR="00FF7D8B" w:rsidRPr="00427AAB">
        <w:rPr>
          <w:rFonts w:ascii="Book Antiqua" w:hAnsi="Book Antiqua" w:cs="Times New Roman"/>
          <w:sz w:val="26"/>
          <w:szCs w:val="26"/>
        </w:rPr>
        <w:t xml:space="preserve"> paid at the time of acquisition if the shares are acquired after 1/10/2014.</w:t>
      </w:r>
      <w:r w:rsidR="008D0A27" w:rsidRPr="00427AAB">
        <w:rPr>
          <w:rFonts w:ascii="Book Antiqua" w:hAnsi="Book Antiqua" w:cs="Times New Roman"/>
          <w:sz w:val="26"/>
          <w:szCs w:val="26"/>
        </w:rPr>
        <w:t xml:space="preserve">  The holding period will be counted from the date of acquisition. </w:t>
      </w:r>
    </w:p>
    <w:p w:rsidR="00FF7D8B" w:rsidRPr="00427AAB" w:rsidRDefault="00FF7D8B" w:rsidP="008D0A27">
      <w:pPr>
        <w:spacing w:line="480" w:lineRule="auto"/>
        <w:jc w:val="both"/>
        <w:rPr>
          <w:rFonts w:ascii="Book Antiqua" w:hAnsi="Book Antiqua" w:cs="Times New Roman"/>
          <w:sz w:val="26"/>
          <w:szCs w:val="26"/>
        </w:rPr>
      </w:pPr>
      <w:r w:rsidRPr="00427AAB">
        <w:rPr>
          <w:rFonts w:ascii="Book Antiqua" w:hAnsi="Book Antiqua" w:cs="Times New Roman"/>
          <w:sz w:val="26"/>
          <w:szCs w:val="26"/>
        </w:rPr>
        <w:t>4</w:t>
      </w:r>
      <w:r w:rsidRPr="00427AAB">
        <w:rPr>
          <w:rFonts w:ascii="Book Antiqua" w:hAnsi="Book Antiqua" w:cs="Times New Roman"/>
          <w:sz w:val="26"/>
          <w:szCs w:val="26"/>
        </w:rPr>
        <w:tab/>
      </w:r>
      <w:r w:rsidR="00F241FB">
        <w:rPr>
          <w:rFonts w:ascii="Book Antiqua" w:hAnsi="Book Antiqua" w:cs="Times New Roman"/>
          <w:sz w:val="26"/>
          <w:szCs w:val="26"/>
        </w:rPr>
        <w:t>Year of applicability?</w:t>
      </w:r>
    </w:p>
    <w:p w:rsidR="00FF7D8B" w:rsidRPr="00427AAB" w:rsidRDefault="00FF7D8B" w:rsidP="008D0A27">
      <w:pPr>
        <w:spacing w:line="480" w:lineRule="auto"/>
        <w:ind w:left="720"/>
        <w:jc w:val="both"/>
        <w:rPr>
          <w:rFonts w:ascii="Book Antiqua" w:hAnsi="Book Antiqua" w:cs="Times New Roman"/>
          <w:sz w:val="26"/>
          <w:szCs w:val="26"/>
        </w:rPr>
      </w:pPr>
      <w:r w:rsidRPr="00427AAB">
        <w:rPr>
          <w:rFonts w:ascii="Book Antiqua" w:hAnsi="Book Antiqua" w:cs="Times New Roman"/>
          <w:sz w:val="26"/>
          <w:szCs w:val="26"/>
        </w:rPr>
        <w:t xml:space="preserve">The new provision is applicable from the assessment year 2019-2020 i.e. transfer of long term capital asset takes place on or after 1/4/2018.  Thus, </w:t>
      </w:r>
      <w:r w:rsidRPr="00427AAB">
        <w:rPr>
          <w:rFonts w:ascii="Book Antiqua" w:hAnsi="Book Antiqua" w:cs="Times New Roman"/>
          <w:sz w:val="26"/>
          <w:szCs w:val="26"/>
        </w:rPr>
        <w:lastRenderedPageBreak/>
        <w:t xml:space="preserve">if someone sales </w:t>
      </w:r>
      <w:r w:rsidR="00F241FB">
        <w:rPr>
          <w:rFonts w:ascii="Book Antiqua" w:hAnsi="Book Antiqua" w:cs="Times New Roman"/>
          <w:sz w:val="26"/>
          <w:szCs w:val="26"/>
        </w:rPr>
        <w:t xml:space="preserve">listed </w:t>
      </w:r>
      <w:r w:rsidRPr="00427AAB">
        <w:rPr>
          <w:rFonts w:ascii="Book Antiqua" w:hAnsi="Book Antiqua" w:cs="Times New Roman"/>
          <w:sz w:val="26"/>
          <w:szCs w:val="26"/>
        </w:rPr>
        <w:t>share before</w:t>
      </w:r>
      <w:r w:rsidR="00F241FB">
        <w:rPr>
          <w:rFonts w:ascii="Book Antiqua" w:hAnsi="Book Antiqua" w:cs="Times New Roman"/>
          <w:sz w:val="26"/>
          <w:szCs w:val="26"/>
        </w:rPr>
        <w:t xml:space="preserve"> </w:t>
      </w:r>
      <w:proofErr w:type="gramStart"/>
      <w:r w:rsidR="00F241FB">
        <w:rPr>
          <w:rFonts w:ascii="Book Antiqua" w:hAnsi="Book Antiqua" w:cs="Times New Roman"/>
          <w:sz w:val="26"/>
          <w:szCs w:val="26"/>
        </w:rPr>
        <w:t>31</w:t>
      </w:r>
      <w:r w:rsidR="00F241FB" w:rsidRPr="00F241FB">
        <w:rPr>
          <w:rFonts w:ascii="Book Antiqua" w:hAnsi="Book Antiqua" w:cs="Times New Roman"/>
          <w:sz w:val="26"/>
          <w:szCs w:val="26"/>
          <w:vertAlign w:val="superscript"/>
        </w:rPr>
        <w:t>st</w:t>
      </w:r>
      <w:r w:rsidR="00F241FB">
        <w:rPr>
          <w:rFonts w:ascii="Book Antiqua" w:hAnsi="Book Antiqua" w:cs="Times New Roman"/>
          <w:sz w:val="26"/>
          <w:szCs w:val="26"/>
        </w:rPr>
        <w:t xml:space="preserve"> </w:t>
      </w:r>
      <w:r w:rsidRPr="00427AAB">
        <w:rPr>
          <w:rFonts w:ascii="Book Antiqua" w:hAnsi="Book Antiqua" w:cs="Times New Roman"/>
          <w:sz w:val="26"/>
          <w:szCs w:val="26"/>
        </w:rPr>
        <w:t xml:space="preserve"> March</w:t>
      </w:r>
      <w:proofErr w:type="gramEnd"/>
      <w:r w:rsidRPr="00427AAB">
        <w:rPr>
          <w:rFonts w:ascii="Book Antiqua" w:hAnsi="Book Antiqua" w:cs="Times New Roman"/>
          <w:sz w:val="26"/>
          <w:szCs w:val="26"/>
        </w:rPr>
        <w:t xml:space="preserve"> 2018, the entire capital gain is exempt u/s 10(38) of the Income Tax Act.</w:t>
      </w:r>
    </w:p>
    <w:p w:rsidR="00770609" w:rsidRDefault="00770609" w:rsidP="008D0A27">
      <w:pPr>
        <w:spacing w:line="480" w:lineRule="auto"/>
        <w:jc w:val="both"/>
        <w:rPr>
          <w:rFonts w:ascii="Book Antiqua" w:hAnsi="Book Antiqua" w:cs="Times New Roman"/>
          <w:sz w:val="26"/>
          <w:szCs w:val="26"/>
        </w:rPr>
      </w:pPr>
    </w:p>
    <w:p w:rsidR="00770609" w:rsidRDefault="00770609" w:rsidP="008D0A27">
      <w:pPr>
        <w:spacing w:line="480" w:lineRule="auto"/>
        <w:jc w:val="both"/>
        <w:rPr>
          <w:rFonts w:ascii="Book Antiqua" w:hAnsi="Book Antiqua" w:cs="Times New Roman"/>
          <w:sz w:val="26"/>
          <w:szCs w:val="26"/>
        </w:rPr>
      </w:pPr>
    </w:p>
    <w:p w:rsidR="00FF7D8B" w:rsidRPr="00427AAB" w:rsidRDefault="00FF7D8B" w:rsidP="008D0A27">
      <w:pPr>
        <w:spacing w:line="480" w:lineRule="auto"/>
        <w:jc w:val="both"/>
        <w:rPr>
          <w:rFonts w:ascii="Book Antiqua" w:hAnsi="Book Antiqua" w:cs="Times New Roman"/>
          <w:sz w:val="26"/>
          <w:szCs w:val="26"/>
        </w:rPr>
      </w:pPr>
      <w:r w:rsidRPr="00427AAB">
        <w:rPr>
          <w:rFonts w:ascii="Book Antiqua" w:hAnsi="Book Antiqua" w:cs="Times New Roman"/>
          <w:sz w:val="26"/>
          <w:szCs w:val="26"/>
        </w:rPr>
        <w:t>5</w:t>
      </w:r>
      <w:r w:rsidRPr="00427AAB">
        <w:rPr>
          <w:rFonts w:ascii="Book Antiqua" w:hAnsi="Book Antiqua" w:cs="Times New Roman"/>
          <w:sz w:val="26"/>
          <w:szCs w:val="26"/>
        </w:rPr>
        <w:tab/>
      </w:r>
      <w:r w:rsidR="00F241FB">
        <w:rPr>
          <w:rFonts w:ascii="Book Antiqua" w:hAnsi="Book Antiqua" w:cs="Times New Roman"/>
          <w:sz w:val="26"/>
          <w:szCs w:val="26"/>
        </w:rPr>
        <w:t>Working of</w:t>
      </w:r>
      <w:r w:rsidRPr="00427AAB">
        <w:rPr>
          <w:rFonts w:ascii="Book Antiqua" w:hAnsi="Book Antiqua" w:cs="Times New Roman"/>
          <w:sz w:val="26"/>
          <w:szCs w:val="26"/>
        </w:rPr>
        <w:t xml:space="preserve"> long term capital gains</w:t>
      </w:r>
    </w:p>
    <w:p w:rsidR="00FF7D8B" w:rsidRPr="00427AAB" w:rsidRDefault="00FF7D8B" w:rsidP="008D0A27">
      <w:pPr>
        <w:spacing w:line="480" w:lineRule="auto"/>
        <w:ind w:left="720"/>
        <w:jc w:val="both"/>
        <w:rPr>
          <w:rFonts w:ascii="Book Antiqua" w:hAnsi="Book Antiqua" w:cs="Times New Roman"/>
          <w:sz w:val="26"/>
          <w:szCs w:val="26"/>
        </w:rPr>
      </w:pPr>
      <w:r w:rsidRPr="00427AAB">
        <w:rPr>
          <w:rFonts w:ascii="Book Antiqua" w:hAnsi="Book Antiqua" w:cs="Times New Roman"/>
          <w:sz w:val="26"/>
          <w:szCs w:val="26"/>
        </w:rPr>
        <w:t xml:space="preserve">The Long Term Capital Gain will be computed by deducting cost of acquisition from the </w:t>
      </w:r>
      <w:proofErr w:type="gramStart"/>
      <w:r w:rsidRPr="00427AAB">
        <w:rPr>
          <w:rFonts w:ascii="Book Antiqua" w:hAnsi="Book Antiqua" w:cs="Times New Roman"/>
          <w:sz w:val="26"/>
          <w:szCs w:val="26"/>
        </w:rPr>
        <w:t>full  value</w:t>
      </w:r>
      <w:proofErr w:type="gramEnd"/>
      <w:r w:rsidRPr="00427AAB">
        <w:rPr>
          <w:rFonts w:ascii="Book Antiqua" w:hAnsi="Book Antiqua" w:cs="Times New Roman"/>
          <w:sz w:val="26"/>
          <w:szCs w:val="26"/>
        </w:rPr>
        <w:t xml:space="preserve"> of consideration on transfer of long term capital asset.</w:t>
      </w:r>
    </w:p>
    <w:p w:rsidR="00FF7D8B" w:rsidRPr="00427AAB" w:rsidRDefault="00FF7D8B" w:rsidP="008D0A27">
      <w:pPr>
        <w:spacing w:line="480" w:lineRule="auto"/>
        <w:ind w:left="720"/>
        <w:jc w:val="both"/>
        <w:rPr>
          <w:rFonts w:ascii="Book Antiqua" w:hAnsi="Book Antiqua" w:cs="Times New Roman"/>
          <w:sz w:val="26"/>
          <w:szCs w:val="26"/>
        </w:rPr>
      </w:pPr>
      <w:r w:rsidRPr="00427AAB">
        <w:rPr>
          <w:rFonts w:ascii="Book Antiqua" w:hAnsi="Book Antiqua" w:cs="Times New Roman"/>
          <w:sz w:val="26"/>
          <w:szCs w:val="26"/>
        </w:rPr>
        <w:t xml:space="preserve">Cost of acquisition for long term capital assets </w:t>
      </w:r>
      <w:r w:rsidR="00FC61F3" w:rsidRPr="00427AAB">
        <w:rPr>
          <w:rFonts w:ascii="Book Antiqua" w:hAnsi="Book Antiqua" w:cs="Times New Roman"/>
          <w:sz w:val="26"/>
          <w:szCs w:val="26"/>
        </w:rPr>
        <w:t>acquire on or before 31</w:t>
      </w:r>
      <w:r w:rsidRPr="00427AAB">
        <w:rPr>
          <w:rFonts w:ascii="Book Antiqua" w:hAnsi="Book Antiqua" w:cs="Times New Roman"/>
          <w:sz w:val="26"/>
          <w:szCs w:val="26"/>
        </w:rPr>
        <w:t>/1/2018 will be the actual cost.  However, if the actual cost is less than the fair market value of such asset as on 31</w:t>
      </w:r>
      <w:r w:rsidRPr="00427AAB">
        <w:rPr>
          <w:rFonts w:ascii="Book Antiqua" w:hAnsi="Book Antiqua" w:cs="Times New Roman"/>
          <w:sz w:val="26"/>
          <w:szCs w:val="26"/>
          <w:vertAlign w:val="superscript"/>
        </w:rPr>
        <w:t>st</w:t>
      </w:r>
      <w:r w:rsidRPr="00427AAB">
        <w:rPr>
          <w:rFonts w:ascii="Book Antiqua" w:hAnsi="Book Antiqua" w:cs="Times New Roman"/>
          <w:sz w:val="26"/>
          <w:szCs w:val="26"/>
        </w:rPr>
        <w:t xml:space="preserve"> of January 2018, then such fair market value i.e. 31/1/2018 will be deemed to the cost of acquisition</w:t>
      </w:r>
      <w:r w:rsidR="008D0A27" w:rsidRPr="00427AAB">
        <w:rPr>
          <w:rFonts w:ascii="Book Antiqua" w:hAnsi="Book Antiqua" w:cs="Times New Roman"/>
          <w:sz w:val="26"/>
          <w:szCs w:val="26"/>
        </w:rPr>
        <w:t>.</w:t>
      </w:r>
    </w:p>
    <w:p w:rsidR="008D0A27" w:rsidRPr="00427AAB" w:rsidRDefault="008D0A27" w:rsidP="008D0A27">
      <w:pPr>
        <w:spacing w:line="480" w:lineRule="auto"/>
        <w:jc w:val="both"/>
        <w:rPr>
          <w:rFonts w:ascii="Book Antiqua" w:hAnsi="Book Antiqua" w:cs="Times New Roman"/>
          <w:sz w:val="26"/>
          <w:szCs w:val="26"/>
        </w:rPr>
      </w:pPr>
      <w:r w:rsidRPr="00427AAB">
        <w:rPr>
          <w:rFonts w:ascii="Book Antiqua" w:hAnsi="Book Antiqua" w:cs="Times New Roman"/>
          <w:sz w:val="26"/>
          <w:szCs w:val="26"/>
        </w:rPr>
        <w:t>6</w:t>
      </w:r>
      <w:r w:rsidRPr="00427AAB">
        <w:rPr>
          <w:rFonts w:ascii="Book Antiqua" w:hAnsi="Book Antiqua" w:cs="Times New Roman"/>
          <w:sz w:val="26"/>
          <w:szCs w:val="26"/>
        </w:rPr>
        <w:tab/>
      </w:r>
      <w:r w:rsidR="00F241FB">
        <w:rPr>
          <w:rFonts w:ascii="Book Antiqua" w:hAnsi="Book Antiqua" w:cs="Times New Roman"/>
          <w:sz w:val="26"/>
          <w:szCs w:val="26"/>
        </w:rPr>
        <w:t>F</w:t>
      </w:r>
      <w:r w:rsidRPr="00427AAB">
        <w:rPr>
          <w:rFonts w:ascii="Book Antiqua" w:hAnsi="Book Antiqua" w:cs="Times New Roman"/>
          <w:sz w:val="26"/>
          <w:szCs w:val="26"/>
        </w:rPr>
        <w:t>air market value</w:t>
      </w:r>
    </w:p>
    <w:p w:rsidR="008D0A27" w:rsidRPr="00427AAB" w:rsidRDefault="008D0A27" w:rsidP="008D0A27">
      <w:pPr>
        <w:pStyle w:val="ListParagraph"/>
        <w:spacing w:before="60" w:after="60" w:line="480" w:lineRule="auto"/>
        <w:ind w:right="60" w:hanging="720"/>
        <w:jc w:val="both"/>
        <w:rPr>
          <w:rFonts w:ascii="Book Antiqua" w:hAnsi="Book Antiqua" w:cs="Times New Roman"/>
          <w:sz w:val="26"/>
          <w:szCs w:val="26"/>
        </w:rPr>
      </w:pPr>
      <w:r w:rsidRPr="00427AAB">
        <w:rPr>
          <w:rFonts w:ascii="Book Antiqua" w:hAnsi="Book Antiqua" w:cs="Times New Roman"/>
          <w:sz w:val="26"/>
          <w:szCs w:val="26"/>
        </w:rPr>
        <w:tab/>
        <w:t xml:space="preserve">In case of a </w:t>
      </w:r>
      <w:r w:rsidRPr="00427AAB">
        <w:rPr>
          <w:rFonts w:ascii="Book Antiqua" w:hAnsi="Book Antiqua" w:cs="Times New Roman"/>
          <w:b/>
          <w:bCs/>
          <w:sz w:val="26"/>
          <w:szCs w:val="26"/>
        </w:rPr>
        <w:t>listed equity share or unit</w:t>
      </w:r>
      <w:r w:rsidRPr="00427AAB">
        <w:rPr>
          <w:rFonts w:ascii="Book Antiqua" w:hAnsi="Book Antiqua" w:cs="Times New Roman"/>
          <w:sz w:val="26"/>
          <w:szCs w:val="26"/>
        </w:rPr>
        <w:t>, the fair market value means the highest price of such share or unit quoted on a recognized stock exchange on 31st of January, 2018.</w:t>
      </w:r>
    </w:p>
    <w:p w:rsidR="008D0A27" w:rsidRPr="00427AAB" w:rsidRDefault="008D0A27" w:rsidP="008D0A27">
      <w:pPr>
        <w:pStyle w:val="ListParagraph"/>
        <w:spacing w:before="60" w:after="60" w:line="480" w:lineRule="auto"/>
        <w:ind w:right="60"/>
        <w:jc w:val="both"/>
        <w:rPr>
          <w:rFonts w:ascii="Book Antiqua" w:hAnsi="Book Antiqua" w:cs="Times New Roman"/>
          <w:sz w:val="26"/>
          <w:szCs w:val="26"/>
        </w:rPr>
      </w:pPr>
      <w:r w:rsidRPr="00427AAB">
        <w:rPr>
          <w:rFonts w:ascii="Book Antiqua" w:hAnsi="Book Antiqua" w:cs="Times New Roman"/>
          <w:sz w:val="26"/>
          <w:szCs w:val="26"/>
        </w:rPr>
        <w:lastRenderedPageBreak/>
        <w:t xml:space="preserve">However, if there is no trading on 31st January, 2018, the fair market value will be the highest price quoted on a date immediately </w:t>
      </w:r>
      <w:proofErr w:type="gramStart"/>
      <w:r w:rsidRPr="00427AAB">
        <w:rPr>
          <w:rFonts w:ascii="Book Antiqua" w:hAnsi="Book Antiqua" w:cs="Times New Roman"/>
          <w:sz w:val="26"/>
          <w:szCs w:val="26"/>
        </w:rPr>
        <w:t>preceding</w:t>
      </w:r>
      <w:proofErr w:type="gramEnd"/>
      <w:r w:rsidRPr="00427AAB">
        <w:rPr>
          <w:rFonts w:ascii="Book Antiqua" w:hAnsi="Book Antiqua" w:cs="Times New Roman"/>
          <w:sz w:val="26"/>
          <w:szCs w:val="26"/>
        </w:rPr>
        <w:t xml:space="preserve"> 31st of January, 2018, on which it has been traded.</w:t>
      </w:r>
    </w:p>
    <w:p w:rsidR="008D0A27" w:rsidRPr="00427AAB" w:rsidRDefault="008D0A27" w:rsidP="008D0A27">
      <w:pPr>
        <w:pStyle w:val="ListParagraph"/>
        <w:spacing w:before="60" w:after="60" w:line="480" w:lineRule="auto"/>
        <w:ind w:right="60"/>
        <w:jc w:val="both"/>
        <w:rPr>
          <w:rFonts w:ascii="Book Antiqua" w:hAnsi="Book Antiqua" w:cs="Times New Roman"/>
          <w:sz w:val="26"/>
          <w:szCs w:val="26"/>
        </w:rPr>
      </w:pPr>
      <w:r w:rsidRPr="00427AAB">
        <w:rPr>
          <w:rFonts w:ascii="Book Antiqua" w:hAnsi="Book Antiqua" w:cs="Times New Roman"/>
          <w:sz w:val="26"/>
          <w:szCs w:val="26"/>
        </w:rPr>
        <w:t xml:space="preserve">In the case of </w:t>
      </w:r>
      <w:r w:rsidRPr="00427AAB">
        <w:rPr>
          <w:rFonts w:ascii="Book Antiqua" w:hAnsi="Book Antiqua" w:cs="Times New Roman"/>
          <w:b/>
          <w:bCs/>
          <w:sz w:val="26"/>
          <w:szCs w:val="26"/>
        </w:rPr>
        <w:t>unlisted unit</w:t>
      </w:r>
      <w:r w:rsidRPr="00427AAB">
        <w:rPr>
          <w:rFonts w:ascii="Book Antiqua" w:hAnsi="Book Antiqua" w:cs="Times New Roman"/>
          <w:sz w:val="26"/>
          <w:szCs w:val="26"/>
        </w:rPr>
        <w:t>, the net asset value of such unit on 31st of January, 2018 will be the fair market value.</w:t>
      </w:r>
    </w:p>
    <w:p w:rsidR="008D0A27" w:rsidRPr="00427AAB" w:rsidRDefault="008D0A27" w:rsidP="008D0A27">
      <w:pPr>
        <w:spacing w:line="480" w:lineRule="auto"/>
        <w:jc w:val="both"/>
        <w:rPr>
          <w:rFonts w:ascii="Book Antiqua" w:hAnsi="Book Antiqua" w:cs="Times New Roman"/>
          <w:sz w:val="26"/>
          <w:szCs w:val="26"/>
        </w:rPr>
      </w:pPr>
    </w:p>
    <w:p w:rsidR="008D0A27" w:rsidRPr="00427AAB" w:rsidRDefault="008D0A27" w:rsidP="008D0A27">
      <w:pPr>
        <w:spacing w:line="480" w:lineRule="auto"/>
        <w:ind w:left="720" w:hanging="720"/>
        <w:jc w:val="both"/>
        <w:rPr>
          <w:rFonts w:ascii="Book Antiqua" w:hAnsi="Book Antiqua" w:cs="Times New Roman"/>
          <w:sz w:val="26"/>
          <w:szCs w:val="26"/>
        </w:rPr>
      </w:pPr>
      <w:r w:rsidRPr="00427AAB">
        <w:rPr>
          <w:rFonts w:ascii="Book Antiqua" w:hAnsi="Book Antiqua" w:cs="Times New Roman"/>
          <w:sz w:val="26"/>
          <w:szCs w:val="26"/>
        </w:rPr>
        <w:t>7</w:t>
      </w:r>
      <w:r w:rsidRPr="00427AAB">
        <w:rPr>
          <w:rFonts w:ascii="Book Antiqua" w:hAnsi="Book Antiqua" w:cs="Times New Roman"/>
          <w:sz w:val="26"/>
          <w:szCs w:val="26"/>
        </w:rPr>
        <w:tab/>
      </w:r>
      <w:r w:rsidR="00F241FB">
        <w:rPr>
          <w:rFonts w:ascii="Book Antiqua" w:hAnsi="Book Antiqua" w:cs="Times New Roman"/>
          <w:sz w:val="26"/>
          <w:szCs w:val="26"/>
        </w:rPr>
        <w:t>Applicability of TDS provisions.</w:t>
      </w:r>
    </w:p>
    <w:p w:rsidR="008D0A27" w:rsidRPr="00427AAB" w:rsidRDefault="008D0A27" w:rsidP="008D0A27">
      <w:pPr>
        <w:spacing w:line="480" w:lineRule="auto"/>
        <w:ind w:left="720"/>
        <w:jc w:val="both"/>
        <w:rPr>
          <w:rFonts w:ascii="Book Antiqua" w:hAnsi="Book Antiqua" w:cs="Times New Roman"/>
          <w:sz w:val="26"/>
          <w:szCs w:val="26"/>
        </w:rPr>
      </w:pPr>
      <w:r w:rsidRPr="00427AAB">
        <w:rPr>
          <w:rFonts w:ascii="Book Antiqua" w:hAnsi="Book Antiqua" w:cs="Times New Roman"/>
          <w:sz w:val="26"/>
          <w:szCs w:val="26"/>
        </w:rPr>
        <w:t xml:space="preserve">No TDS to be deducted if the Long Term Capital Gain pertains to resident tax payer.  In case of a </w:t>
      </w:r>
      <w:proofErr w:type="spellStart"/>
      <w:r w:rsidRPr="00427AAB">
        <w:rPr>
          <w:rFonts w:ascii="Book Antiqua" w:hAnsi="Book Antiqua" w:cs="Times New Roman"/>
          <w:sz w:val="26"/>
          <w:szCs w:val="26"/>
        </w:rPr>
        <w:t>non resident</w:t>
      </w:r>
      <w:proofErr w:type="spellEnd"/>
      <w:r w:rsidRPr="00427AAB">
        <w:rPr>
          <w:rFonts w:ascii="Book Antiqua" w:hAnsi="Book Antiqua" w:cs="Times New Roman"/>
          <w:sz w:val="26"/>
          <w:szCs w:val="26"/>
        </w:rPr>
        <w:t xml:space="preserve"> Provision of Section 195 will be applicable and accordingly TDS would be deducted.  In case of FII, no TDS will be deducted.</w:t>
      </w:r>
    </w:p>
    <w:p w:rsidR="008D0A27" w:rsidRPr="00427AAB" w:rsidRDefault="008D0A27" w:rsidP="008D0A27">
      <w:pPr>
        <w:spacing w:line="480" w:lineRule="auto"/>
        <w:jc w:val="both"/>
        <w:rPr>
          <w:rFonts w:ascii="Book Antiqua" w:hAnsi="Book Antiqua" w:cs="Times New Roman"/>
          <w:sz w:val="26"/>
          <w:szCs w:val="26"/>
        </w:rPr>
      </w:pPr>
      <w:r w:rsidRPr="00427AAB">
        <w:rPr>
          <w:rFonts w:ascii="Book Antiqua" w:hAnsi="Book Antiqua" w:cs="Times New Roman"/>
          <w:sz w:val="26"/>
          <w:szCs w:val="26"/>
        </w:rPr>
        <w:t>8</w:t>
      </w:r>
      <w:r w:rsidRPr="00427AAB">
        <w:rPr>
          <w:rFonts w:ascii="Book Antiqua" w:hAnsi="Book Antiqua" w:cs="Times New Roman"/>
          <w:sz w:val="26"/>
          <w:szCs w:val="26"/>
        </w:rPr>
        <w:tab/>
        <w:t>Whether Long term capital loss can be set off</w:t>
      </w:r>
    </w:p>
    <w:p w:rsidR="008D0A27" w:rsidRDefault="008D0A27" w:rsidP="008D0A27">
      <w:pPr>
        <w:spacing w:line="480" w:lineRule="auto"/>
        <w:ind w:left="720"/>
        <w:jc w:val="both"/>
        <w:rPr>
          <w:rFonts w:ascii="Book Antiqua" w:hAnsi="Book Antiqua" w:cs="Times New Roman"/>
          <w:sz w:val="26"/>
          <w:szCs w:val="26"/>
        </w:rPr>
      </w:pPr>
      <w:r w:rsidRPr="00427AAB">
        <w:rPr>
          <w:rFonts w:ascii="Book Antiqua" w:hAnsi="Book Antiqua" w:cs="Times New Roman"/>
          <w:sz w:val="26"/>
          <w:szCs w:val="26"/>
        </w:rPr>
        <w:t>Under the new provisions since Long Term Capital Gain is taxable from the financial year 2018-19, the net long term capital loss incurred after 1/4/2018 shall be entitled to set-off against Long Term Capital Gain and if net Long Term Capital Gain exceed Rs.1</w:t>
      </w:r>
      <w:proofErr w:type="gramStart"/>
      <w:r w:rsidRPr="00427AAB">
        <w:rPr>
          <w:rFonts w:ascii="Book Antiqua" w:hAnsi="Book Antiqua" w:cs="Times New Roman"/>
          <w:sz w:val="26"/>
          <w:szCs w:val="26"/>
        </w:rPr>
        <w:t>,00,000</w:t>
      </w:r>
      <w:proofErr w:type="gramEnd"/>
      <w:r w:rsidRPr="00427AAB">
        <w:rPr>
          <w:rFonts w:ascii="Book Antiqua" w:hAnsi="Book Antiqua" w:cs="Times New Roman"/>
          <w:sz w:val="26"/>
          <w:szCs w:val="26"/>
        </w:rPr>
        <w:t>, the tax will be paid at 10%.</w:t>
      </w:r>
    </w:p>
    <w:p w:rsidR="00C376EA" w:rsidRPr="00427AAB" w:rsidRDefault="00C376EA" w:rsidP="008D0A27">
      <w:pPr>
        <w:spacing w:line="480" w:lineRule="auto"/>
        <w:ind w:left="720"/>
        <w:jc w:val="both"/>
        <w:rPr>
          <w:rFonts w:ascii="Book Antiqua" w:hAnsi="Book Antiqua" w:cs="Times New Roman"/>
          <w:sz w:val="26"/>
          <w:szCs w:val="26"/>
        </w:rPr>
      </w:pPr>
      <w:r>
        <w:rPr>
          <w:rFonts w:ascii="Book Antiqua" w:hAnsi="Book Antiqua" w:cs="Times New Roman"/>
          <w:sz w:val="26"/>
          <w:szCs w:val="26"/>
        </w:rPr>
        <w:t xml:space="preserve">Further long term capital gain can also be set off against the other capital </w:t>
      </w:r>
      <w:proofErr w:type="gramStart"/>
      <w:r>
        <w:rPr>
          <w:rFonts w:ascii="Book Antiqua" w:hAnsi="Book Antiqua" w:cs="Times New Roman"/>
          <w:sz w:val="26"/>
          <w:szCs w:val="26"/>
        </w:rPr>
        <w:t>losses pertains</w:t>
      </w:r>
      <w:proofErr w:type="gramEnd"/>
      <w:r>
        <w:rPr>
          <w:rFonts w:ascii="Book Antiqua" w:hAnsi="Book Antiqua" w:cs="Times New Roman"/>
          <w:sz w:val="26"/>
          <w:szCs w:val="26"/>
        </w:rPr>
        <w:t xml:space="preserve"> to other capital assets.</w:t>
      </w:r>
    </w:p>
    <w:p w:rsidR="00427AAB" w:rsidRPr="00427AAB" w:rsidRDefault="008D0A27" w:rsidP="008D0A27">
      <w:pPr>
        <w:spacing w:line="480" w:lineRule="auto"/>
        <w:jc w:val="both"/>
        <w:rPr>
          <w:rFonts w:ascii="Book Antiqua" w:hAnsi="Book Antiqua" w:cs="Times New Roman"/>
          <w:sz w:val="26"/>
          <w:szCs w:val="26"/>
        </w:rPr>
      </w:pPr>
      <w:r w:rsidRPr="00427AAB">
        <w:rPr>
          <w:rFonts w:ascii="Book Antiqua" w:hAnsi="Book Antiqua" w:cs="Times New Roman"/>
          <w:sz w:val="26"/>
          <w:szCs w:val="26"/>
        </w:rPr>
        <w:lastRenderedPageBreak/>
        <w:t>9</w:t>
      </w:r>
      <w:r w:rsidRPr="00427AAB">
        <w:rPr>
          <w:rFonts w:ascii="Book Antiqua" w:hAnsi="Book Antiqua" w:cs="Times New Roman"/>
          <w:sz w:val="26"/>
          <w:szCs w:val="26"/>
        </w:rPr>
        <w:tab/>
        <w:t>Some illustrations in light of the above clarification</w:t>
      </w:r>
    </w:p>
    <w:p w:rsidR="00427AAB" w:rsidRDefault="008F0BD0" w:rsidP="008D0A27">
      <w:pPr>
        <w:spacing w:line="480" w:lineRule="auto"/>
        <w:jc w:val="both"/>
        <w:rPr>
          <w:rFonts w:ascii="Book Antiqua" w:hAnsi="Book Antiqua" w:cs="Times New Roman"/>
          <w:sz w:val="26"/>
          <w:szCs w:val="26"/>
        </w:rPr>
      </w:pPr>
      <w:r>
        <w:rPr>
          <w:rFonts w:ascii="Book Antiqua" w:hAnsi="Book Antiqua" w:cs="Times New Roman"/>
          <w:sz w:val="26"/>
          <w:szCs w:val="26"/>
        </w:rPr>
        <w:tab/>
        <w:t>Shares acquired on 1.12.2016 for Rs.1</w:t>
      </w:r>
      <w:proofErr w:type="gramStart"/>
      <w:r>
        <w:rPr>
          <w:rFonts w:ascii="Book Antiqua" w:hAnsi="Book Antiqua" w:cs="Times New Roman"/>
          <w:sz w:val="26"/>
          <w:szCs w:val="26"/>
        </w:rPr>
        <w:t>,00,000</w:t>
      </w:r>
      <w:proofErr w:type="gramEnd"/>
      <w:r>
        <w:rPr>
          <w:rFonts w:ascii="Book Antiqua" w:hAnsi="Book Antiqua" w:cs="Times New Roman"/>
          <w:sz w:val="26"/>
          <w:szCs w:val="26"/>
        </w:rPr>
        <w:t>/-</w:t>
      </w:r>
    </w:p>
    <w:p w:rsidR="008F0BD0" w:rsidRDefault="008F0BD0" w:rsidP="008D0A27">
      <w:pPr>
        <w:spacing w:line="480" w:lineRule="auto"/>
        <w:jc w:val="both"/>
        <w:rPr>
          <w:rFonts w:ascii="Book Antiqua" w:hAnsi="Book Antiqua" w:cs="Times New Roman"/>
          <w:sz w:val="26"/>
          <w:szCs w:val="26"/>
        </w:rPr>
      </w:pPr>
      <w:r>
        <w:rPr>
          <w:rFonts w:ascii="Book Antiqua" w:hAnsi="Book Antiqua" w:cs="Times New Roman"/>
          <w:sz w:val="26"/>
          <w:szCs w:val="26"/>
        </w:rPr>
        <w:tab/>
        <w:t>Shares sold fo</w:t>
      </w:r>
      <w:r w:rsidR="007425A4">
        <w:rPr>
          <w:rFonts w:ascii="Book Antiqua" w:hAnsi="Book Antiqua" w:cs="Times New Roman"/>
          <w:sz w:val="26"/>
          <w:szCs w:val="26"/>
        </w:rPr>
        <w:t>r Rs.5</w:t>
      </w:r>
      <w:proofErr w:type="gramStart"/>
      <w:r w:rsidR="007425A4">
        <w:rPr>
          <w:rFonts w:ascii="Book Antiqua" w:hAnsi="Book Antiqua" w:cs="Times New Roman"/>
          <w:sz w:val="26"/>
          <w:szCs w:val="26"/>
        </w:rPr>
        <w:t>,00,000</w:t>
      </w:r>
      <w:proofErr w:type="gramEnd"/>
      <w:r w:rsidR="007425A4">
        <w:rPr>
          <w:rFonts w:ascii="Book Antiqua" w:hAnsi="Book Antiqua" w:cs="Times New Roman"/>
          <w:sz w:val="26"/>
          <w:szCs w:val="26"/>
        </w:rPr>
        <w:t>/-</w:t>
      </w:r>
    </w:p>
    <w:p w:rsidR="008F0BD0" w:rsidRDefault="008F0BD0" w:rsidP="008D0A27">
      <w:pPr>
        <w:spacing w:line="480" w:lineRule="auto"/>
        <w:jc w:val="both"/>
        <w:rPr>
          <w:rFonts w:ascii="Book Antiqua" w:hAnsi="Book Antiqua" w:cs="Times New Roman"/>
          <w:sz w:val="26"/>
          <w:szCs w:val="26"/>
        </w:rPr>
      </w:pPr>
      <w:r>
        <w:rPr>
          <w:rFonts w:ascii="Book Antiqua" w:hAnsi="Book Antiqua" w:cs="Times New Roman"/>
          <w:sz w:val="26"/>
          <w:szCs w:val="26"/>
        </w:rPr>
        <w:tab/>
        <w:t>FMV of shares on 31.01.2018 is Rs.2</w:t>
      </w:r>
      <w:proofErr w:type="gramStart"/>
      <w:r>
        <w:rPr>
          <w:rFonts w:ascii="Book Antiqua" w:hAnsi="Book Antiqua" w:cs="Times New Roman"/>
          <w:sz w:val="26"/>
          <w:szCs w:val="26"/>
        </w:rPr>
        <w:t>,00,000</w:t>
      </w:r>
      <w:proofErr w:type="gramEnd"/>
      <w:r>
        <w:rPr>
          <w:rFonts w:ascii="Book Antiqua" w:hAnsi="Book Antiqua" w:cs="Times New Roman"/>
          <w:sz w:val="26"/>
          <w:szCs w:val="26"/>
        </w:rPr>
        <w:t>/-</w:t>
      </w:r>
    </w:p>
    <w:p w:rsidR="008F0BD0" w:rsidRDefault="008F0BD0" w:rsidP="008D0A27">
      <w:pPr>
        <w:spacing w:line="480" w:lineRule="auto"/>
        <w:jc w:val="both"/>
        <w:rPr>
          <w:rFonts w:ascii="Book Antiqua" w:hAnsi="Book Antiqua" w:cs="Times New Roman"/>
          <w:sz w:val="26"/>
          <w:szCs w:val="26"/>
        </w:rPr>
      </w:pPr>
      <w:r>
        <w:rPr>
          <w:rFonts w:ascii="Book Antiqua" w:hAnsi="Book Antiqua" w:cs="Times New Roman"/>
          <w:sz w:val="26"/>
          <w:szCs w:val="26"/>
        </w:rPr>
        <w:tab/>
      </w:r>
      <w:r w:rsidR="007425A4">
        <w:rPr>
          <w:rFonts w:ascii="Book Antiqua" w:hAnsi="Book Antiqua" w:cs="Times New Roman"/>
          <w:sz w:val="26"/>
          <w:szCs w:val="26"/>
        </w:rPr>
        <w:t xml:space="preserve">Other </w:t>
      </w:r>
      <w:r>
        <w:rPr>
          <w:rFonts w:ascii="Book Antiqua" w:hAnsi="Book Antiqua" w:cs="Times New Roman"/>
          <w:sz w:val="26"/>
          <w:szCs w:val="26"/>
        </w:rPr>
        <w:t>Capital losses Rs.3</w:t>
      </w:r>
      <w:proofErr w:type="gramStart"/>
      <w:r>
        <w:rPr>
          <w:rFonts w:ascii="Book Antiqua" w:hAnsi="Book Antiqua" w:cs="Times New Roman"/>
          <w:sz w:val="26"/>
          <w:szCs w:val="26"/>
        </w:rPr>
        <w:t>,00,000</w:t>
      </w:r>
      <w:proofErr w:type="gramEnd"/>
      <w:r>
        <w:rPr>
          <w:rFonts w:ascii="Book Antiqua" w:hAnsi="Book Antiqua" w:cs="Times New Roman"/>
          <w:sz w:val="26"/>
          <w:szCs w:val="26"/>
        </w:rPr>
        <w:t>/-</w:t>
      </w:r>
    </w:p>
    <w:tbl>
      <w:tblPr>
        <w:tblStyle w:val="TableGrid"/>
        <w:tblW w:w="9576" w:type="dxa"/>
        <w:tblLook w:val="04A0" w:firstRow="1" w:lastRow="0" w:firstColumn="1" w:lastColumn="0" w:noHBand="0" w:noVBand="1"/>
      </w:tblPr>
      <w:tblGrid>
        <w:gridCol w:w="3402"/>
        <w:gridCol w:w="1836"/>
        <w:gridCol w:w="2160"/>
        <w:gridCol w:w="2178"/>
      </w:tblGrid>
      <w:tr w:rsidR="008F0BD0" w:rsidTr="005D6C7E">
        <w:tc>
          <w:tcPr>
            <w:tcW w:w="3402" w:type="dxa"/>
          </w:tcPr>
          <w:p w:rsidR="008F0BD0" w:rsidRDefault="008F0BD0" w:rsidP="008F0BD0">
            <w:pPr>
              <w:spacing w:line="480" w:lineRule="auto"/>
              <w:jc w:val="both"/>
              <w:rPr>
                <w:rFonts w:ascii="Book Antiqua" w:hAnsi="Book Antiqua" w:cs="Times New Roman"/>
                <w:sz w:val="26"/>
                <w:szCs w:val="26"/>
              </w:rPr>
            </w:pPr>
            <w:r>
              <w:rPr>
                <w:rFonts w:ascii="Book Antiqua" w:hAnsi="Book Antiqua" w:cs="Times New Roman"/>
                <w:sz w:val="26"/>
                <w:szCs w:val="26"/>
              </w:rPr>
              <w:t>Particulars</w:t>
            </w:r>
          </w:p>
        </w:tc>
        <w:tc>
          <w:tcPr>
            <w:tcW w:w="1836" w:type="dxa"/>
          </w:tcPr>
          <w:p w:rsidR="008F0BD0" w:rsidRDefault="008F0BD0" w:rsidP="008F0BD0">
            <w:pPr>
              <w:spacing w:line="480" w:lineRule="auto"/>
              <w:jc w:val="both"/>
              <w:rPr>
                <w:rFonts w:ascii="Book Antiqua" w:hAnsi="Book Antiqua" w:cs="Times New Roman"/>
                <w:sz w:val="26"/>
                <w:szCs w:val="26"/>
              </w:rPr>
            </w:pPr>
            <w:r>
              <w:rPr>
                <w:rFonts w:ascii="Book Antiqua" w:hAnsi="Book Antiqua" w:cs="Times New Roman"/>
                <w:sz w:val="26"/>
                <w:szCs w:val="26"/>
              </w:rPr>
              <w:t>If transfer before 31.03.2018</w:t>
            </w:r>
          </w:p>
        </w:tc>
        <w:tc>
          <w:tcPr>
            <w:tcW w:w="2160" w:type="dxa"/>
          </w:tcPr>
          <w:p w:rsidR="008F0BD0" w:rsidRDefault="008F0BD0" w:rsidP="008F0BD0">
            <w:pPr>
              <w:spacing w:line="480" w:lineRule="auto"/>
              <w:jc w:val="both"/>
              <w:rPr>
                <w:rFonts w:ascii="Book Antiqua" w:hAnsi="Book Antiqua" w:cs="Times New Roman"/>
                <w:sz w:val="26"/>
                <w:szCs w:val="26"/>
              </w:rPr>
            </w:pPr>
            <w:r>
              <w:rPr>
                <w:rFonts w:ascii="Book Antiqua" w:hAnsi="Book Antiqua" w:cs="Times New Roman"/>
                <w:sz w:val="26"/>
                <w:szCs w:val="26"/>
              </w:rPr>
              <w:t>If transfer after 31.03.2018</w:t>
            </w:r>
          </w:p>
        </w:tc>
        <w:tc>
          <w:tcPr>
            <w:tcW w:w="2178" w:type="dxa"/>
          </w:tcPr>
          <w:p w:rsidR="008F0BD0" w:rsidRDefault="00633F37" w:rsidP="008F0BD0">
            <w:pPr>
              <w:spacing w:line="480" w:lineRule="auto"/>
              <w:jc w:val="both"/>
              <w:rPr>
                <w:rFonts w:ascii="Book Antiqua" w:hAnsi="Book Antiqua" w:cs="Times New Roman"/>
                <w:sz w:val="26"/>
                <w:szCs w:val="26"/>
              </w:rPr>
            </w:pPr>
            <w:r>
              <w:rPr>
                <w:rFonts w:ascii="Book Antiqua" w:hAnsi="Book Antiqua" w:cs="Times New Roman"/>
                <w:sz w:val="26"/>
                <w:szCs w:val="26"/>
              </w:rPr>
              <w:t>If transfer after 31.03.2018</w:t>
            </w:r>
            <w:r w:rsidR="007425A4">
              <w:rPr>
                <w:rFonts w:ascii="Book Antiqua" w:hAnsi="Book Antiqua" w:cs="Times New Roman"/>
                <w:sz w:val="26"/>
                <w:szCs w:val="26"/>
              </w:rPr>
              <w:t xml:space="preserve"> (taking sale consideration of Rs.7,00,000)</w:t>
            </w:r>
          </w:p>
        </w:tc>
      </w:tr>
      <w:tr w:rsidR="00633F37" w:rsidTr="005D6C7E">
        <w:tc>
          <w:tcPr>
            <w:tcW w:w="3402" w:type="dxa"/>
          </w:tcPr>
          <w:p w:rsidR="00633F37" w:rsidRDefault="00633F37" w:rsidP="00633F37">
            <w:pPr>
              <w:spacing w:line="480" w:lineRule="auto"/>
              <w:jc w:val="both"/>
              <w:rPr>
                <w:rFonts w:ascii="Book Antiqua" w:hAnsi="Book Antiqua" w:cs="Times New Roman"/>
                <w:sz w:val="26"/>
                <w:szCs w:val="26"/>
              </w:rPr>
            </w:pPr>
            <w:r>
              <w:rPr>
                <w:rFonts w:ascii="Book Antiqua" w:hAnsi="Book Antiqua" w:cs="Times New Roman"/>
                <w:sz w:val="26"/>
                <w:szCs w:val="26"/>
              </w:rPr>
              <w:t>Cost (a)</w:t>
            </w:r>
          </w:p>
        </w:tc>
        <w:tc>
          <w:tcPr>
            <w:tcW w:w="1836" w:type="dxa"/>
          </w:tcPr>
          <w:p w:rsidR="00633F37" w:rsidRDefault="00633F37" w:rsidP="00633F37">
            <w:pPr>
              <w:spacing w:line="480" w:lineRule="auto"/>
              <w:jc w:val="both"/>
              <w:rPr>
                <w:rFonts w:ascii="Book Antiqua" w:hAnsi="Book Antiqua" w:cs="Times New Roman"/>
                <w:sz w:val="26"/>
                <w:szCs w:val="26"/>
              </w:rPr>
            </w:pPr>
            <w:r>
              <w:rPr>
                <w:rFonts w:ascii="Book Antiqua" w:hAnsi="Book Antiqua" w:cs="Times New Roman"/>
                <w:sz w:val="26"/>
                <w:szCs w:val="26"/>
              </w:rPr>
              <w:t>1,00,000</w:t>
            </w:r>
          </w:p>
        </w:tc>
        <w:tc>
          <w:tcPr>
            <w:tcW w:w="2160" w:type="dxa"/>
          </w:tcPr>
          <w:p w:rsidR="00633F37" w:rsidRDefault="00633F37" w:rsidP="00633F37">
            <w:pPr>
              <w:spacing w:line="480" w:lineRule="auto"/>
              <w:jc w:val="both"/>
              <w:rPr>
                <w:rFonts w:ascii="Book Antiqua" w:hAnsi="Book Antiqua" w:cs="Times New Roman"/>
                <w:sz w:val="26"/>
                <w:szCs w:val="26"/>
              </w:rPr>
            </w:pPr>
            <w:r>
              <w:rPr>
                <w:rFonts w:ascii="Book Antiqua" w:hAnsi="Book Antiqua" w:cs="Times New Roman"/>
                <w:sz w:val="26"/>
                <w:szCs w:val="26"/>
              </w:rPr>
              <w:t>1,00,000</w:t>
            </w:r>
          </w:p>
        </w:tc>
        <w:tc>
          <w:tcPr>
            <w:tcW w:w="2178" w:type="dxa"/>
          </w:tcPr>
          <w:p w:rsidR="00633F37" w:rsidRDefault="00633F37" w:rsidP="00633F37">
            <w:pPr>
              <w:spacing w:line="480" w:lineRule="auto"/>
              <w:jc w:val="both"/>
              <w:rPr>
                <w:rFonts w:ascii="Book Antiqua" w:hAnsi="Book Antiqua" w:cs="Times New Roman"/>
                <w:sz w:val="26"/>
                <w:szCs w:val="26"/>
              </w:rPr>
            </w:pPr>
            <w:r>
              <w:rPr>
                <w:rFonts w:ascii="Book Antiqua" w:hAnsi="Book Antiqua" w:cs="Times New Roman"/>
                <w:sz w:val="26"/>
                <w:szCs w:val="26"/>
              </w:rPr>
              <w:t>1,00,000</w:t>
            </w:r>
          </w:p>
        </w:tc>
      </w:tr>
      <w:tr w:rsidR="00633F37" w:rsidTr="005D6C7E">
        <w:tc>
          <w:tcPr>
            <w:tcW w:w="3402" w:type="dxa"/>
          </w:tcPr>
          <w:p w:rsidR="00633F37" w:rsidRDefault="00633F37" w:rsidP="00633F37">
            <w:pPr>
              <w:spacing w:line="480" w:lineRule="auto"/>
              <w:jc w:val="both"/>
              <w:rPr>
                <w:rFonts w:ascii="Book Antiqua" w:hAnsi="Book Antiqua" w:cs="Times New Roman"/>
                <w:sz w:val="26"/>
                <w:szCs w:val="26"/>
              </w:rPr>
            </w:pPr>
            <w:r>
              <w:rPr>
                <w:rFonts w:ascii="Book Antiqua" w:hAnsi="Book Antiqua" w:cs="Times New Roman"/>
                <w:sz w:val="26"/>
                <w:szCs w:val="26"/>
              </w:rPr>
              <w:t xml:space="preserve">FMV (b) </w:t>
            </w:r>
          </w:p>
        </w:tc>
        <w:tc>
          <w:tcPr>
            <w:tcW w:w="1836" w:type="dxa"/>
          </w:tcPr>
          <w:p w:rsidR="00633F37" w:rsidRDefault="00633F37" w:rsidP="00633F37">
            <w:pPr>
              <w:spacing w:line="480" w:lineRule="auto"/>
              <w:jc w:val="both"/>
              <w:rPr>
                <w:rFonts w:ascii="Book Antiqua" w:hAnsi="Book Antiqua" w:cs="Times New Roman"/>
                <w:sz w:val="26"/>
                <w:szCs w:val="26"/>
              </w:rPr>
            </w:pPr>
            <w:r>
              <w:rPr>
                <w:rFonts w:ascii="Book Antiqua" w:hAnsi="Book Antiqua" w:cs="Times New Roman"/>
                <w:sz w:val="26"/>
                <w:szCs w:val="26"/>
              </w:rPr>
              <w:t>2,00,000</w:t>
            </w:r>
          </w:p>
        </w:tc>
        <w:tc>
          <w:tcPr>
            <w:tcW w:w="2160" w:type="dxa"/>
          </w:tcPr>
          <w:p w:rsidR="00633F37" w:rsidRDefault="00633F37" w:rsidP="00633F37">
            <w:pPr>
              <w:spacing w:line="480" w:lineRule="auto"/>
              <w:jc w:val="both"/>
              <w:rPr>
                <w:rFonts w:ascii="Book Antiqua" w:hAnsi="Book Antiqua" w:cs="Times New Roman"/>
                <w:sz w:val="26"/>
                <w:szCs w:val="26"/>
              </w:rPr>
            </w:pPr>
            <w:r>
              <w:rPr>
                <w:rFonts w:ascii="Book Antiqua" w:hAnsi="Book Antiqua" w:cs="Times New Roman"/>
                <w:sz w:val="26"/>
                <w:szCs w:val="26"/>
              </w:rPr>
              <w:t>2,00,000</w:t>
            </w:r>
          </w:p>
        </w:tc>
        <w:tc>
          <w:tcPr>
            <w:tcW w:w="2178" w:type="dxa"/>
          </w:tcPr>
          <w:p w:rsidR="00633F37" w:rsidRDefault="00633F37" w:rsidP="00633F37">
            <w:pPr>
              <w:spacing w:line="480" w:lineRule="auto"/>
              <w:jc w:val="both"/>
              <w:rPr>
                <w:rFonts w:ascii="Book Antiqua" w:hAnsi="Book Antiqua" w:cs="Times New Roman"/>
                <w:sz w:val="26"/>
                <w:szCs w:val="26"/>
              </w:rPr>
            </w:pPr>
            <w:r>
              <w:rPr>
                <w:rFonts w:ascii="Book Antiqua" w:hAnsi="Book Antiqua" w:cs="Times New Roman"/>
                <w:sz w:val="26"/>
                <w:szCs w:val="26"/>
              </w:rPr>
              <w:t>2,00,000</w:t>
            </w:r>
          </w:p>
        </w:tc>
      </w:tr>
      <w:tr w:rsidR="00633F37" w:rsidTr="005D6C7E">
        <w:tc>
          <w:tcPr>
            <w:tcW w:w="3402" w:type="dxa"/>
          </w:tcPr>
          <w:p w:rsidR="00633F37" w:rsidRDefault="00633F37" w:rsidP="00633F37">
            <w:pPr>
              <w:spacing w:line="480" w:lineRule="auto"/>
              <w:jc w:val="both"/>
              <w:rPr>
                <w:rFonts w:ascii="Book Antiqua" w:hAnsi="Book Antiqua" w:cs="Times New Roman"/>
                <w:sz w:val="26"/>
                <w:szCs w:val="26"/>
              </w:rPr>
            </w:pPr>
            <w:r>
              <w:rPr>
                <w:rFonts w:ascii="Book Antiqua" w:hAnsi="Book Antiqua" w:cs="Times New Roman"/>
                <w:sz w:val="26"/>
                <w:szCs w:val="26"/>
              </w:rPr>
              <w:t>Sale consideration (c)</w:t>
            </w:r>
          </w:p>
        </w:tc>
        <w:tc>
          <w:tcPr>
            <w:tcW w:w="1836" w:type="dxa"/>
          </w:tcPr>
          <w:p w:rsidR="00633F37" w:rsidRDefault="00633F37" w:rsidP="00633F37">
            <w:pPr>
              <w:spacing w:line="480" w:lineRule="auto"/>
              <w:jc w:val="both"/>
              <w:rPr>
                <w:rFonts w:ascii="Book Antiqua" w:hAnsi="Book Antiqua" w:cs="Times New Roman"/>
                <w:sz w:val="26"/>
                <w:szCs w:val="26"/>
              </w:rPr>
            </w:pPr>
            <w:r>
              <w:rPr>
                <w:rFonts w:ascii="Book Antiqua" w:hAnsi="Book Antiqua" w:cs="Times New Roman"/>
                <w:sz w:val="26"/>
                <w:szCs w:val="26"/>
              </w:rPr>
              <w:t>5,00,000</w:t>
            </w:r>
          </w:p>
        </w:tc>
        <w:tc>
          <w:tcPr>
            <w:tcW w:w="2160" w:type="dxa"/>
          </w:tcPr>
          <w:p w:rsidR="00633F37" w:rsidRDefault="00633F37" w:rsidP="00633F37">
            <w:pPr>
              <w:spacing w:line="480" w:lineRule="auto"/>
              <w:jc w:val="both"/>
              <w:rPr>
                <w:rFonts w:ascii="Book Antiqua" w:hAnsi="Book Antiqua" w:cs="Times New Roman"/>
                <w:sz w:val="26"/>
                <w:szCs w:val="26"/>
              </w:rPr>
            </w:pPr>
            <w:r>
              <w:rPr>
                <w:rFonts w:ascii="Book Antiqua" w:hAnsi="Book Antiqua" w:cs="Times New Roman"/>
                <w:sz w:val="26"/>
                <w:szCs w:val="26"/>
              </w:rPr>
              <w:t>5,00,000</w:t>
            </w:r>
          </w:p>
        </w:tc>
        <w:tc>
          <w:tcPr>
            <w:tcW w:w="2178" w:type="dxa"/>
          </w:tcPr>
          <w:p w:rsidR="00633F37" w:rsidRDefault="00633F37" w:rsidP="00633F37">
            <w:pPr>
              <w:spacing w:line="480" w:lineRule="auto"/>
              <w:jc w:val="both"/>
              <w:rPr>
                <w:rFonts w:ascii="Book Antiqua" w:hAnsi="Book Antiqua" w:cs="Times New Roman"/>
                <w:sz w:val="26"/>
                <w:szCs w:val="26"/>
              </w:rPr>
            </w:pPr>
            <w:r>
              <w:rPr>
                <w:rFonts w:ascii="Book Antiqua" w:hAnsi="Book Antiqua" w:cs="Times New Roman"/>
                <w:sz w:val="26"/>
                <w:szCs w:val="26"/>
              </w:rPr>
              <w:t>7,00,000</w:t>
            </w:r>
          </w:p>
        </w:tc>
      </w:tr>
      <w:tr w:rsidR="00633F37" w:rsidTr="005D6C7E">
        <w:tc>
          <w:tcPr>
            <w:tcW w:w="3402" w:type="dxa"/>
          </w:tcPr>
          <w:p w:rsidR="00633F37" w:rsidRDefault="00633F37" w:rsidP="00633F37">
            <w:pPr>
              <w:spacing w:line="480" w:lineRule="auto"/>
              <w:jc w:val="both"/>
              <w:rPr>
                <w:rFonts w:ascii="Book Antiqua" w:hAnsi="Book Antiqua" w:cs="Times New Roman"/>
                <w:sz w:val="26"/>
                <w:szCs w:val="26"/>
              </w:rPr>
            </w:pPr>
            <w:r>
              <w:rPr>
                <w:rFonts w:ascii="Book Antiqua" w:hAnsi="Book Antiqua" w:cs="Times New Roman"/>
                <w:sz w:val="26"/>
                <w:szCs w:val="26"/>
              </w:rPr>
              <w:t>Long term capital gain</w:t>
            </w:r>
          </w:p>
        </w:tc>
        <w:tc>
          <w:tcPr>
            <w:tcW w:w="1836" w:type="dxa"/>
          </w:tcPr>
          <w:p w:rsidR="00633F37" w:rsidRDefault="00633F37" w:rsidP="00633F37">
            <w:pPr>
              <w:spacing w:line="480" w:lineRule="auto"/>
              <w:jc w:val="both"/>
              <w:rPr>
                <w:rFonts w:ascii="Book Antiqua" w:hAnsi="Book Antiqua" w:cs="Times New Roman"/>
                <w:sz w:val="26"/>
                <w:szCs w:val="26"/>
              </w:rPr>
            </w:pPr>
            <w:r>
              <w:rPr>
                <w:rFonts w:ascii="Book Antiqua" w:hAnsi="Book Antiqua" w:cs="Times New Roman"/>
                <w:sz w:val="26"/>
                <w:szCs w:val="26"/>
              </w:rPr>
              <w:t>4,00,000 (c-a)</w:t>
            </w:r>
          </w:p>
        </w:tc>
        <w:tc>
          <w:tcPr>
            <w:tcW w:w="2160" w:type="dxa"/>
          </w:tcPr>
          <w:p w:rsidR="00633F37" w:rsidRPr="00AB17A9" w:rsidRDefault="00633F37" w:rsidP="00633F37">
            <w:pPr>
              <w:spacing w:line="480" w:lineRule="auto"/>
              <w:jc w:val="both"/>
              <w:rPr>
                <w:rFonts w:ascii="Book Antiqua" w:hAnsi="Book Antiqua" w:cs="Times New Roman"/>
                <w:b/>
                <w:sz w:val="26"/>
                <w:szCs w:val="26"/>
              </w:rPr>
            </w:pPr>
            <w:r>
              <w:rPr>
                <w:rFonts w:ascii="Book Antiqua" w:hAnsi="Book Antiqua" w:cs="Times New Roman"/>
                <w:sz w:val="26"/>
                <w:szCs w:val="26"/>
              </w:rPr>
              <w:t>3,00,000(c-b)</w:t>
            </w:r>
          </w:p>
        </w:tc>
        <w:tc>
          <w:tcPr>
            <w:tcW w:w="2178" w:type="dxa"/>
          </w:tcPr>
          <w:p w:rsidR="00633F37" w:rsidRDefault="00633F37" w:rsidP="00633F37">
            <w:pPr>
              <w:spacing w:line="480" w:lineRule="auto"/>
              <w:jc w:val="both"/>
              <w:rPr>
                <w:rFonts w:ascii="Book Antiqua" w:hAnsi="Book Antiqua" w:cs="Times New Roman"/>
                <w:sz w:val="26"/>
                <w:szCs w:val="26"/>
              </w:rPr>
            </w:pPr>
            <w:r>
              <w:rPr>
                <w:rFonts w:ascii="Book Antiqua" w:hAnsi="Book Antiqua" w:cs="Times New Roman"/>
                <w:sz w:val="26"/>
                <w:szCs w:val="26"/>
              </w:rPr>
              <w:t>5,00,000</w:t>
            </w:r>
            <w:r w:rsidR="005D6C7E">
              <w:rPr>
                <w:rFonts w:ascii="Book Antiqua" w:hAnsi="Book Antiqua" w:cs="Times New Roman"/>
                <w:sz w:val="26"/>
                <w:szCs w:val="26"/>
              </w:rPr>
              <w:t>(c-b)</w:t>
            </w:r>
          </w:p>
        </w:tc>
      </w:tr>
      <w:tr w:rsidR="00633F37" w:rsidTr="005D6C7E">
        <w:tc>
          <w:tcPr>
            <w:tcW w:w="3402" w:type="dxa"/>
          </w:tcPr>
          <w:p w:rsidR="00633F37" w:rsidRDefault="007425A4" w:rsidP="00633F37">
            <w:pPr>
              <w:spacing w:line="480" w:lineRule="auto"/>
              <w:jc w:val="both"/>
              <w:rPr>
                <w:rFonts w:ascii="Book Antiqua" w:hAnsi="Book Antiqua" w:cs="Times New Roman"/>
                <w:sz w:val="26"/>
                <w:szCs w:val="26"/>
              </w:rPr>
            </w:pPr>
            <w:r>
              <w:rPr>
                <w:rFonts w:ascii="Book Antiqua" w:hAnsi="Book Antiqua" w:cs="Times New Roman"/>
                <w:sz w:val="26"/>
                <w:szCs w:val="26"/>
              </w:rPr>
              <w:t>Set off other c</w:t>
            </w:r>
            <w:r w:rsidR="00633F37">
              <w:rPr>
                <w:rFonts w:ascii="Book Antiqua" w:hAnsi="Book Antiqua" w:cs="Times New Roman"/>
                <w:sz w:val="26"/>
                <w:szCs w:val="26"/>
              </w:rPr>
              <w:t>apital losses</w:t>
            </w:r>
          </w:p>
        </w:tc>
        <w:tc>
          <w:tcPr>
            <w:tcW w:w="1836" w:type="dxa"/>
          </w:tcPr>
          <w:p w:rsidR="00633F37" w:rsidRDefault="00633F37" w:rsidP="00633F37">
            <w:pPr>
              <w:spacing w:line="480" w:lineRule="auto"/>
              <w:jc w:val="both"/>
              <w:rPr>
                <w:rFonts w:ascii="Book Antiqua" w:hAnsi="Book Antiqua" w:cs="Times New Roman"/>
                <w:sz w:val="26"/>
                <w:szCs w:val="26"/>
              </w:rPr>
            </w:pPr>
            <w:r>
              <w:rPr>
                <w:rFonts w:ascii="Book Antiqua" w:hAnsi="Book Antiqua" w:cs="Times New Roman"/>
                <w:sz w:val="26"/>
                <w:szCs w:val="26"/>
              </w:rPr>
              <w:t>Nil</w:t>
            </w:r>
          </w:p>
        </w:tc>
        <w:tc>
          <w:tcPr>
            <w:tcW w:w="2160" w:type="dxa"/>
          </w:tcPr>
          <w:p w:rsidR="00633F37" w:rsidRDefault="00633F37" w:rsidP="00633F37">
            <w:pPr>
              <w:spacing w:line="480" w:lineRule="auto"/>
              <w:jc w:val="both"/>
              <w:rPr>
                <w:rFonts w:ascii="Book Antiqua" w:hAnsi="Book Antiqua" w:cs="Times New Roman"/>
                <w:sz w:val="26"/>
                <w:szCs w:val="26"/>
              </w:rPr>
            </w:pPr>
            <w:r>
              <w:rPr>
                <w:rFonts w:ascii="Book Antiqua" w:hAnsi="Book Antiqua" w:cs="Times New Roman"/>
                <w:sz w:val="26"/>
                <w:szCs w:val="26"/>
              </w:rPr>
              <w:t>3,00,000</w:t>
            </w:r>
          </w:p>
        </w:tc>
        <w:tc>
          <w:tcPr>
            <w:tcW w:w="2178" w:type="dxa"/>
          </w:tcPr>
          <w:p w:rsidR="00633F37" w:rsidRDefault="00633F37" w:rsidP="00633F37">
            <w:pPr>
              <w:spacing w:line="480" w:lineRule="auto"/>
              <w:jc w:val="both"/>
              <w:rPr>
                <w:rFonts w:ascii="Book Antiqua" w:hAnsi="Book Antiqua" w:cs="Times New Roman"/>
                <w:sz w:val="26"/>
                <w:szCs w:val="26"/>
              </w:rPr>
            </w:pPr>
            <w:r>
              <w:rPr>
                <w:rFonts w:ascii="Book Antiqua" w:hAnsi="Book Antiqua" w:cs="Times New Roman"/>
                <w:sz w:val="26"/>
                <w:szCs w:val="26"/>
              </w:rPr>
              <w:t>3,00,000</w:t>
            </w:r>
          </w:p>
        </w:tc>
      </w:tr>
      <w:tr w:rsidR="00633F37" w:rsidTr="005D6C7E">
        <w:tc>
          <w:tcPr>
            <w:tcW w:w="3402" w:type="dxa"/>
          </w:tcPr>
          <w:p w:rsidR="00633F37" w:rsidRDefault="00633F37" w:rsidP="00633F37">
            <w:pPr>
              <w:spacing w:line="480" w:lineRule="auto"/>
              <w:jc w:val="both"/>
              <w:rPr>
                <w:rFonts w:ascii="Book Antiqua" w:hAnsi="Book Antiqua" w:cs="Times New Roman"/>
                <w:sz w:val="26"/>
                <w:szCs w:val="26"/>
              </w:rPr>
            </w:pPr>
            <w:r>
              <w:rPr>
                <w:rFonts w:ascii="Book Antiqua" w:hAnsi="Book Antiqua" w:cs="Times New Roman"/>
                <w:sz w:val="26"/>
                <w:szCs w:val="26"/>
              </w:rPr>
              <w:t>Long term capital gain exempt u/s 10(38)</w:t>
            </w:r>
          </w:p>
        </w:tc>
        <w:tc>
          <w:tcPr>
            <w:tcW w:w="1836" w:type="dxa"/>
          </w:tcPr>
          <w:p w:rsidR="00633F37" w:rsidRDefault="00633F37" w:rsidP="00633F37">
            <w:pPr>
              <w:spacing w:line="480" w:lineRule="auto"/>
              <w:jc w:val="both"/>
              <w:rPr>
                <w:rFonts w:ascii="Book Antiqua" w:hAnsi="Book Antiqua" w:cs="Times New Roman"/>
                <w:sz w:val="26"/>
                <w:szCs w:val="26"/>
              </w:rPr>
            </w:pPr>
            <w:r>
              <w:rPr>
                <w:rFonts w:ascii="Book Antiqua" w:hAnsi="Book Antiqua" w:cs="Times New Roman"/>
                <w:sz w:val="26"/>
                <w:szCs w:val="26"/>
              </w:rPr>
              <w:t>4,00,000</w:t>
            </w:r>
          </w:p>
        </w:tc>
        <w:tc>
          <w:tcPr>
            <w:tcW w:w="2160" w:type="dxa"/>
          </w:tcPr>
          <w:p w:rsidR="00633F37" w:rsidRDefault="007425A4" w:rsidP="00633F37">
            <w:pPr>
              <w:spacing w:line="480" w:lineRule="auto"/>
              <w:jc w:val="both"/>
              <w:rPr>
                <w:rFonts w:ascii="Book Antiqua" w:hAnsi="Book Antiqua" w:cs="Times New Roman"/>
                <w:sz w:val="26"/>
                <w:szCs w:val="26"/>
              </w:rPr>
            </w:pPr>
            <w:r>
              <w:rPr>
                <w:rFonts w:ascii="Book Antiqua" w:hAnsi="Book Antiqua" w:cs="Times New Roman"/>
                <w:sz w:val="26"/>
                <w:szCs w:val="26"/>
              </w:rPr>
              <w:t>Not applicable</w:t>
            </w:r>
          </w:p>
        </w:tc>
        <w:tc>
          <w:tcPr>
            <w:tcW w:w="2178" w:type="dxa"/>
          </w:tcPr>
          <w:p w:rsidR="00633F37" w:rsidRDefault="007425A4" w:rsidP="00633F37">
            <w:pPr>
              <w:spacing w:line="480" w:lineRule="auto"/>
              <w:jc w:val="both"/>
              <w:rPr>
                <w:rFonts w:ascii="Book Antiqua" w:hAnsi="Book Antiqua" w:cs="Times New Roman"/>
                <w:sz w:val="26"/>
                <w:szCs w:val="26"/>
              </w:rPr>
            </w:pPr>
            <w:r>
              <w:rPr>
                <w:rFonts w:ascii="Book Antiqua" w:hAnsi="Book Antiqua" w:cs="Times New Roman"/>
                <w:sz w:val="26"/>
                <w:szCs w:val="26"/>
              </w:rPr>
              <w:t>Not applicable</w:t>
            </w:r>
          </w:p>
        </w:tc>
      </w:tr>
      <w:tr w:rsidR="00633F37" w:rsidTr="005D6C7E">
        <w:tc>
          <w:tcPr>
            <w:tcW w:w="3402" w:type="dxa"/>
          </w:tcPr>
          <w:p w:rsidR="00633F37" w:rsidRDefault="007425A4" w:rsidP="00633F37">
            <w:pPr>
              <w:spacing w:line="480" w:lineRule="auto"/>
              <w:jc w:val="both"/>
              <w:rPr>
                <w:rFonts w:ascii="Book Antiqua" w:hAnsi="Book Antiqua" w:cs="Times New Roman"/>
                <w:sz w:val="26"/>
                <w:szCs w:val="26"/>
              </w:rPr>
            </w:pPr>
            <w:r>
              <w:rPr>
                <w:rFonts w:ascii="Book Antiqua" w:hAnsi="Book Antiqua" w:cs="Times New Roman"/>
                <w:sz w:val="26"/>
                <w:szCs w:val="26"/>
              </w:rPr>
              <w:t>Exemption limit</w:t>
            </w:r>
          </w:p>
        </w:tc>
        <w:tc>
          <w:tcPr>
            <w:tcW w:w="1836" w:type="dxa"/>
          </w:tcPr>
          <w:p w:rsidR="00633F37" w:rsidRDefault="007425A4" w:rsidP="00633F37">
            <w:pPr>
              <w:spacing w:line="480" w:lineRule="auto"/>
              <w:jc w:val="both"/>
              <w:rPr>
                <w:rFonts w:ascii="Book Antiqua" w:hAnsi="Book Antiqua" w:cs="Times New Roman"/>
                <w:sz w:val="26"/>
                <w:szCs w:val="26"/>
              </w:rPr>
            </w:pPr>
            <w:r>
              <w:rPr>
                <w:rFonts w:ascii="Book Antiqua" w:hAnsi="Book Antiqua" w:cs="Times New Roman"/>
                <w:sz w:val="26"/>
                <w:szCs w:val="26"/>
              </w:rPr>
              <w:t>Nil</w:t>
            </w:r>
          </w:p>
        </w:tc>
        <w:tc>
          <w:tcPr>
            <w:tcW w:w="2160" w:type="dxa"/>
          </w:tcPr>
          <w:p w:rsidR="00633F37" w:rsidRDefault="007425A4" w:rsidP="00633F37">
            <w:pPr>
              <w:spacing w:line="480" w:lineRule="auto"/>
              <w:jc w:val="both"/>
              <w:rPr>
                <w:rFonts w:ascii="Book Antiqua" w:hAnsi="Book Antiqua" w:cs="Times New Roman"/>
                <w:sz w:val="26"/>
                <w:szCs w:val="26"/>
              </w:rPr>
            </w:pPr>
            <w:r>
              <w:rPr>
                <w:rFonts w:ascii="Book Antiqua" w:hAnsi="Book Antiqua" w:cs="Times New Roman"/>
                <w:sz w:val="26"/>
                <w:szCs w:val="26"/>
              </w:rPr>
              <w:t>Nil</w:t>
            </w:r>
          </w:p>
        </w:tc>
        <w:tc>
          <w:tcPr>
            <w:tcW w:w="2178" w:type="dxa"/>
          </w:tcPr>
          <w:p w:rsidR="00633F37" w:rsidRDefault="007425A4" w:rsidP="00633F37">
            <w:pPr>
              <w:spacing w:line="480" w:lineRule="auto"/>
              <w:jc w:val="both"/>
              <w:rPr>
                <w:rFonts w:ascii="Book Antiqua" w:hAnsi="Book Antiqua" w:cs="Times New Roman"/>
                <w:sz w:val="26"/>
                <w:szCs w:val="26"/>
              </w:rPr>
            </w:pPr>
            <w:r>
              <w:rPr>
                <w:rFonts w:ascii="Book Antiqua" w:hAnsi="Book Antiqua" w:cs="Times New Roman"/>
                <w:sz w:val="26"/>
                <w:szCs w:val="26"/>
              </w:rPr>
              <w:t>1,00,000</w:t>
            </w:r>
          </w:p>
        </w:tc>
      </w:tr>
      <w:tr w:rsidR="007425A4" w:rsidTr="005D6C7E">
        <w:tc>
          <w:tcPr>
            <w:tcW w:w="3402" w:type="dxa"/>
          </w:tcPr>
          <w:p w:rsidR="007425A4" w:rsidRDefault="007425A4" w:rsidP="007425A4">
            <w:pPr>
              <w:spacing w:line="480" w:lineRule="auto"/>
              <w:jc w:val="both"/>
              <w:rPr>
                <w:rFonts w:ascii="Book Antiqua" w:hAnsi="Book Antiqua" w:cs="Times New Roman"/>
                <w:sz w:val="26"/>
                <w:szCs w:val="26"/>
              </w:rPr>
            </w:pPr>
            <w:r>
              <w:rPr>
                <w:rFonts w:ascii="Book Antiqua" w:hAnsi="Book Antiqua" w:cs="Times New Roman"/>
                <w:sz w:val="26"/>
                <w:szCs w:val="26"/>
              </w:rPr>
              <w:lastRenderedPageBreak/>
              <w:t>Long term capital gain tax @ 10%</w:t>
            </w:r>
          </w:p>
        </w:tc>
        <w:tc>
          <w:tcPr>
            <w:tcW w:w="1836" w:type="dxa"/>
          </w:tcPr>
          <w:p w:rsidR="007425A4" w:rsidRDefault="007425A4" w:rsidP="007425A4">
            <w:pPr>
              <w:spacing w:line="480" w:lineRule="auto"/>
              <w:jc w:val="both"/>
              <w:rPr>
                <w:rFonts w:ascii="Book Antiqua" w:hAnsi="Book Antiqua" w:cs="Times New Roman"/>
                <w:sz w:val="26"/>
                <w:szCs w:val="26"/>
              </w:rPr>
            </w:pPr>
            <w:r>
              <w:rPr>
                <w:rFonts w:ascii="Book Antiqua" w:hAnsi="Book Antiqua" w:cs="Times New Roman"/>
                <w:sz w:val="26"/>
                <w:szCs w:val="26"/>
              </w:rPr>
              <w:t>Nil</w:t>
            </w:r>
          </w:p>
        </w:tc>
        <w:tc>
          <w:tcPr>
            <w:tcW w:w="2160" w:type="dxa"/>
          </w:tcPr>
          <w:p w:rsidR="007425A4" w:rsidRDefault="007425A4" w:rsidP="007425A4">
            <w:pPr>
              <w:spacing w:line="480" w:lineRule="auto"/>
              <w:jc w:val="both"/>
              <w:rPr>
                <w:rFonts w:ascii="Book Antiqua" w:hAnsi="Book Antiqua" w:cs="Times New Roman"/>
                <w:sz w:val="26"/>
                <w:szCs w:val="26"/>
              </w:rPr>
            </w:pPr>
            <w:r>
              <w:rPr>
                <w:rFonts w:ascii="Book Antiqua" w:hAnsi="Book Antiqua" w:cs="Times New Roman"/>
                <w:sz w:val="26"/>
                <w:szCs w:val="26"/>
              </w:rPr>
              <w:t>Nil</w:t>
            </w:r>
          </w:p>
        </w:tc>
        <w:tc>
          <w:tcPr>
            <w:tcW w:w="2178" w:type="dxa"/>
          </w:tcPr>
          <w:p w:rsidR="007425A4" w:rsidRDefault="007425A4" w:rsidP="007425A4">
            <w:pPr>
              <w:spacing w:line="480" w:lineRule="auto"/>
              <w:jc w:val="both"/>
              <w:rPr>
                <w:rFonts w:ascii="Book Antiqua" w:hAnsi="Book Antiqua" w:cs="Times New Roman"/>
                <w:sz w:val="26"/>
                <w:szCs w:val="26"/>
              </w:rPr>
            </w:pPr>
            <w:r>
              <w:rPr>
                <w:rFonts w:ascii="Book Antiqua" w:hAnsi="Book Antiqua" w:cs="Times New Roman"/>
                <w:sz w:val="26"/>
                <w:szCs w:val="26"/>
              </w:rPr>
              <w:t>2,00,000</w:t>
            </w:r>
          </w:p>
        </w:tc>
      </w:tr>
      <w:tr w:rsidR="007425A4" w:rsidTr="005D6C7E">
        <w:tc>
          <w:tcPr>
            <w:tcW w:w="3402" w:type="dxa"/>
          </w:tcPr>
          <w:p w:rsidR="007425A4" w:rsidRDefault="007425A4" w:rsidP="007425A4">
            <w:pPr>
              <w:spacing w:line="480" w:lineRule="auto"/>
              <w:jc w:val="both"/>
              <w:rPr>
                <w:rFonts w:ascii="Book Antiqua" w:hAnsi="Book Antiqua" w:cs="Times New Roman"/>
                <w:sz w:val="26"/>
                <w:szCs w:val="26"/>
              </w:rPr>
            </w:pPr>
            <w:r>
              <w:rPr>
                <w:rFonts w:ascii="Book Antiqua" w:hAnsi="Book Antiqua" w:cs="Times New Roman"/>
                <w:sz w:val="26"/>
                <w:szCs w:val="26"/>
              </w:rPr>
              <w:t>Tax payable u/s 112A</w:t>
            </w:r>
          </w:p>
        </w:tc>
        <w:tc>
          <w:tcPr>
            <w:tcW w:w="1836" w:type="dxa"/>
          </w:tcPr>
          <w:p w:rsidR="007425A4" w:rsidRDefault="007425A4" w:rsidP="007425A4">
            <w:pPr>
              <w:spacing w:line="480" w:lineRule="auto"/>
              <w:jc w:val="both"/>
              <w:rPr>
                <w:rFonts w:ascii="Book Antiqua" w:hAnsi="Book Antiqua" w:cs="Times New Roman"/>
                <w:sz w:val="26"/>
                <w:szCs w:val="26"/>
              </w:rPr>
            </w:pPr>
            <w:r>
              <w:rPr>
                <w:rFonts w:ascii="Book Antiqua" w:hAnsi="Book Antiqua" w:cs="Times New Roman"/>
                <w:sz w:val="26"/>
                <w:szCs w:val="26"/>
              </w:rPr>
              <w:t>Nil</w:t>
            </w:r>
          </w:p>
        </w:tc>
        <w:tc>
          <w:tcPr>
            <w:tcW w:w="2160" w:type="dxa"/>
          </w:tcPr>
          <w:p w:rsidR="007425A4" w:rsidRDefault="007425A4" w:rsidP="007425A4">
            <w:pPr>
              <w:spacing w:line="480" w:lineRule="auto"/>
              <w:jc w:val="both"/>
              <w:rPr>
                <w:rFonts w:ascii="Book Antiqua" w:hAnsi="Book Antiqua" w:cs="Times New Roman"/>
                <w:sz w:val="26"/>
                <w:szCs w:val="26"/>
              </w:rPr>
            </w:pPr>
            <w:r>
              <w:rPr>
                <w:rFonts w:ascii="Book Antiqua" w:hAnsi="Book Antiqua" w:cs="Times New Roman"/>
                <w:sz w:val="26"/>
                <w:szCs w:val="26"/>
              </w:rPr>
              <w:t>Nil</w:t>
            </w:r>
          </w:p>
        </w:tc>
        <w:tc>
          <w:tcPr>
            <w:tcW w:w="2178" w:type="dxa"/>
          </w:tcPr>
          <w:p w:rsidR="007425A4" w:rsidRDefault="007425A4" w:rsidP="007425A4">
            <w:pPr>
              <w:spacing w:line="480" w:lineRule="auto"/>
              <w:jc w:val="both"/>
              <w:rPr>
                <w:rFonts w:ascii="Book Antiqua" w:hAnsi="Book Antiqua" w:cs="Times New Roman"/>
                <w:sz w:val="26"/>
                <w:szCs w:val="26"/>
              </w:rPr>
            </w:pPr>
            <w:r>
              <w:rPr>
                <w:rFonts w:ascii="Book Antiqua" w:hAnsi="Book Antiqua" w:cs="Times New Roman"/>
                <w:sz w:val="26"/>
                <w:szCs w:val="26"/>
              </w:rPr>
              <w:t>20,000</w:t>
            </w:r>
          </w:p>
        </w:tc>
      </w:tr>
    </w:tbl>
    <w:p w:rsidR="008F0BD0" w:rsidRPr="00427AAB" w:rsidRDefault="008F0BD0" w:rsidP="008D0A27">
      <w:pPr>
        <w:spacing w:line="480" w:lineRule="auto"/>
        <w:jc w:val="both"/>
        <w:rPr>
          <w:rFonts w:ascii="Book Antiqua" w:hAnsi="Book Antiqua" w:cs="Times New Roman"/>
          <w:sz w:val="26"/>
          <w:szCs w:val="26"/>
        </w:rPr>
      </w:pPr>
    </w:p>
    <w:p w:rsidR="00427AAB" w:rsidRPr="00427AAB" w:rsidRDefault="00427AAB" w:rsidP="008D0A27">
      <w:pPr>
        <w:spacing w:line="480" w:lineRule="auto"/>
        <w:jc w:val="both"/>
        <w:rPr>
          <w:rFonts w:ascii="Book Antiqua" w:hAnsi="Book Antiqua" w:cs="Times New Roman"/>
          <w:sz w:val="26"/>
          <w:szCs w:val="26"/>
        </w:rPr>
      </w:pPr>
    </w:p>
    <w:p w:rsidR="00427AAB" w:rsidRPr="00427AAB" w:rsidRDefault="00427AAB" w:rsidP="008D0A27">
      <w:pPr>
        <w:spacing w:line="480" w:lineRule="auto"/>
        <w:jc w:val="both"/>
        <w:rPr>
          <w:rFonts w:ascii="Book Antiqua" w:hAnsi="Book Antiqua" w:cs="Times New Roman"/>
          <w:sz w:val="26"/>
          <w:szCs w:val="26"/>
        </w:rPr>
      </w:pPr>
    </w:p>
    <w:p w:rsidR="005B02FB" w:rsidRDefault="005B02FB" w:rsidP="008D0A27">
      <w:pPr>
        <w:spacing w:line="480" w:lineRule="auto"/>
        <w:jc w:val="both"/>
        <w:rPr>
          <w:rFonts w:ascii="Book Antiqua" w:hAnsi="Book Antiqua" w:cs="Times New Roman"/>
          <w:sz w:val="26"/>
          <w:szCs w:val="26"/>
        </w:rPr>
      </w:pPr>
    </w:p>
    <w:sectPr w:rsidR="005B02FB" w:rsidSect="00FD4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66FAA"/>
    <w:multiLevelType w:val="hybridMultilevel"/>
    <w:tmpl w:val="4DAC41A0"/>
    <w:lvl w:ilvl="0" w:tplc="E8BE3FD6">
      <w:start w:val="1"/>
      <w:numFmt w:val="lowerLetter"/>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70"/>
    <w:rsid w:val="00035B14"/>
    <w:rsid w:val="000567B3"/>
    <w:rsid w:val="00131853"/>
    <w:rsid w:val="002F72C1"/>
    <w:rsid w:val="00367B40"/>
    <w:rsid w:val="00427AAB"/>
    <w:rsid w:val="00552D70"/>
    <w:rsid w:val="005B02FB"/>
    <w:rsid w:val="005D6C7E"/>
    <w:rsid w:val="00633F37"/>
    <w:rsid w:val="00634729"/>
    <w:rsid w:val="007425A4"/>
    <w:rsid w:val="0074788B"/>
    <w:rsid w:val="00770609"/>
    <w:rsid w:val="00833CC5"/>
    <w:rsid w:val="008D0A27"/>
    <w:rsid w:val="008D400C"/>
    <w:rsid w:val="008E6D9A"/>
    <w:rsid w:val="008F0BD0"/>
    <w:rsid w:val="00AB17A9"/>
    <w:rsid w:val="00B91E0D"/>
    <w:rsid w:val="00C1692B"/>
    <w:rsid w:val="00C376EA"/>
    <w:rsid w:val="00D031D8"/>
    <w:rsid w:val="00D12CB1"/>
    <w:rsid w:val="00D42466"/>
    <w:rsid w:val="00DB0F46"/>
    <w:rsid w:val="00E4510F"/>
    <w:rsid w:val="00F241FB"/>
    <w:rsid w:val="00F41BFF"/>
    <w:rsid w:val="00FC61F3"/>
    <w:rsid w:val="00FD440B"/>
    <w:rsid w:val="00FF7D8B"/>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D70"/>
    <w:pPr>
      <w:ind w:left="720"/>
      <w:contextualSpacing/>
    </w:pPr>
  </w:style>
  <w:style w:type="paragraph" w:styleId="BalloonText">
    <w:name w:val="Balloon Text"/>
    <w:basedOn w:val="Normal"/>
    <w:link w:val="BalloonTextChar"/>
    <w:uiPriority w:val="99"/>
    <w:semiHidden/>
    <w:unhideWhenUsed/>
    <w:rsid w:val="00D42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466"/>
    <w:rPr>
      <w:rFonts w:ascii="Segoe UI" w:hAnsi="Segoe UI" w:cs="Segoe UI"/>
      <w:sz w:val="18"/>
      <w:szCs w:val="18"/>
    </w:rPr>
  </w:style>
  <w:style w:type="paragraph" w:styleId="NormalWeb">
    <w:name w:val="Normal (Web)"/>
    <w:basedOn w:val="Normal"/>
    <w:uiPriority w:val="99"/>
    <w:semiHidden/>
    <w:unhideWhenUsed/>
    <w:rsid w:val="00D424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2466"/>
    <w:rPr>
      <w:b/>
      <w:bCs/>
    </w:rPr>
  </w:style>
  <w:style w:type="table" w:styleId="TableGrid">
    <w:name w:val="Table Grid"/>
    <w:basedOn w:val="TableNormal"/>
    <w:uiPriority w:val="59"/>
    <w:rsid w:val="008F0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D70"/>
    <w:pPr>
      <w:ind w:left="720"/>
      <w:contextualSpacing/>
    </w:pPr>
  </w:style>
  <w:style w:type="paragraph" w:styleId="BalloonText">
    <w:name w:val="Balloon Text"/>
    <w:basedOn w:val="Normal"/>
    <w:link w:val="BalloonTextChar"/>
    <w:uiPriority w:val="99"/>
    <w:semiHidden/>
    <w:unhideWhenUsed/>
    <w:rsid w:val="00D42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466"/>
    <w:rPr>
      <w:rFonts w:ascii="Segoe UI" w:hAnsi="Segoe UI" w:cs="Segoe UI"/>
      <w:sz w:val="18"/>
      <w:szCs w:val="18"/>
    </w:rPr>
  </w:style>
  <w:style w:type="paragraph" w:styleId="NormalWeb">
    <w:name w:val="Normal (Web)"/>
    <w:basedOn w:val="Normal"/>
    <w:uiPriority w:val="99"/>
    <w:semiHidden/>
    <w:unhideWhenUsed/>
    <w:rsid w:val="00D424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2466"/>
    <w:rPr>
      <w:b/>
      <w:bCs/>
    </w:rPr>
  </w:style>
  <w:style w:type="table" w:styleId="TableGrid">
    <w:name w:val="Table Grid"/>
    <w:basedOn w:val="TableNormal"/>
    <w:uiPriority w:val="59"/>
    <w:rsid w:val="008F0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5331">
      <w:bodyDiv w:val="1"/>
      <w:marLeft w:val="0"/>
      <w:marRight w:val="0"/>
      <w:marTop w:val="0"/>
      <w:marBottom w:val="0"/>
      <w:divBdr>
        <w:top w:val="none" w:sz="0" w:space="0" w:color="auto"/>
        <w:left w:val="none" w:sz="0" w:space="0" w:color="auto"/>
        <w:bottom w:val="none" w:sz="0" w:space="0" w:color="auto"/>
        <w:right w:val="none" w:sz="0" w:space="0" w:color="auto"/>
      </w:divBdr>
    </w:div>
    <w:div w:id="39258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 pc</dc:creator>
  <cp:lastModifiedBy>Tech</cp:lastModifiedBy>
  <cp:revision>2</cp:revision>
  <cp:lastPrinted>2018-03-07T05:18:00Z</cp:lastPrinted>
  <dcterms:created xsi:type="dcterms:W3CDTF">2018-03-14T06:05:00Z</dcterms:created>
  <dcterms:modified xsi:type="dcterms:W3CDTF">2018-03-14T06:05:00Z</dcterms:modified>
</cp:coreProperties>
</file>